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F85A7E" w14:paraId="0C28C98E" w14:textId="77777777" w:rsidTr="00CF449F">
        <w:trPr>
          <w:trHeight w:val="1975"/>
        </w:trPr>
        <w:tc>
          <w:tcPr>
            <w:tcW w:w="4508" w:type="dxa"/>
          </w:tcPr>
          <w:p w14:paraId="31278162" w14:textId="2AD26580" w:rsidR="00F85A7E" w:rsidRDefault="00F85A7E" w:rsidP="004E568B">
            <w:pPr>
              <w:jc w:val="center"/>
              <w:rPr>
                <w:rFonts w:cstheme="minorHAnsi"/>
                <w:b/>
                <w:bCs/>
              </w:rPr>
            </w:pPr>
            <w:r>
              <w:rPr>
                <w:noProof/>
              </w:rPr>
              <w:drawing>
                <wp:anchor distT="0" distB="0" distL="114300" distR="114300" simplePos="0" relativeHeight="251658240" behindDoc="1" locked="0" layoutInCell="1" allowOverlap="1" wp14:anchorId="6541BF63" wp14:editId="5729D272">
                  <wp:simplePos x="0" y="0"/>
                  <wp:positionH relativeFrom="column">
                    <wp:posOffset>188595</wp:posOffset>
                  </wp:positionH>
                  <wp:positionV relativeFrom="paragraph">
                    <wp:posOffset>323850</wp:posOffset>
                  </wp:positionV>
                  <wp:extent cx="2305050" cy="641350"/>
                  <wp:effectExtent l="0" t="0" r="0" b="6350"/>
                  <wp:wrapTight wrapText="bothSides">
                    <wp:wrapPolygon edited="0">
                      <wp:start x="0" y="0"/>
                      <wp:lineTo x="0" y="21172"/>
                      <wp:lineTo x="21421" y="21172"/>
                      <wp:lineTo x="21421"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305050" cy="641350"/>
                          </a:xfrm>
                          <a:prstGeom prst="rect">
                            <a:avLst/>
                          </a:prstGeom>
                          <a:noFill/>
                          <a:ln>
                            <a:noFill/>
                          </a:ln>
                        </pic:spPr>
                      </pic:pic>
                    </a:graphicData>
                  </a:graphic>
                </wp:anchor>
              </w:drawing>
            </w:r>
          </w:p>
        </w:tc>
        <w:tc>
          <w:tcPr>
            <w:tcW w:w="4508" w:type="dxa"/>
          </w:tcPr>
          <w:p w14:paraId="70B9D99C" w14:textId="77777777" w:rsidR="00F85A7E" w:rsidRDefault="00F85A7E" w:rsidP="00CF449F">
            <w:pPr>
              <w:jc w:val="center"/>
              <w:rPr>
                <w:rFonts w:cstheme="minorHAnsi"/>
                <w:b/>
                <w:bCs/>
              </w:rPr>
            </w:pPr>
          </w:p>
          <w:p w14:paraId="7B8C26B4" w14:textId="77777777" w:rsidR="00F85A7E" w:rsidRDefault="00F85A7E" w:rsidP="00CF449F">
            <w:pPr>
              <w:jc w:val="center"/>
              <w:rPr>
                <w:rFonts w:cstheme="minorHAnsi"/>
                <w:b/>
                <w:bCs/>
              </w:rPr>
            </w:pPr>
          </w:p>
          <w:p w14:paraId="7B6D7ED5" w14:textId="776732EC" w:rsidR="00F85A7E" w:rsidRPr="00F85A7E" w:rsidRDefault="00F85A7E" w:rsidP="00CF449F">
            <w:pPr>
              <w:jc w:val="center"/>
              <w:rPr>
                <w:rFonts w:cstheme="minorHAnsi"/>
                <w:b/>
                <w:bCs/>
                <w:color w:val="0052A4"/>
                <w:sz w:val="30"/>
                <w:szCs w:val="30"/>
              </w:rPr>
            </w:pPr>
            <w:bookmarkStart w:id="0" w:name="_Hlk127869333"/>
            <w:r w:rsidRPr="00F85A7E">
              <w:rPr>
                <w:rFonts w:cstheme="minorHAnsi"/>
                <w:b/>
                <w:bCs/>
                <w:color w:val="0052A4"/>
                <w:sz w:val="30"/>
                <w:szCs w:val="30"/>
              </w:rPr>
              <w:t>IPHA Clinical Trial Compensation Guidelines</w:t>
            </w:r>
          </w:p>
          <w:p w14:paraId="32A7A478" w14:textId="594964CC" w:rsidR="00F85A7E" w:rsidRPr="00F85A7E" w:rsidRDefault="00F85A7E" w:rsidP="00CF449F">
            <w:pPr>
              <w:jc w:val="center"/>
              <w:rPr>
                <w:rFonts w:cstheme="minorHAnsi"/>
                <w:b/>
                <w:bCs/>
                <w:color w:val="0052A4"/>
                <w:sz w:val="30"/>
                <w:szCs w:val="30"/>
              </w:rPr>
            </w:pPr>
            <w:r w:rsidRPr="00F85A7E">
              <w:rPr>
                <w:rFonts w:cstheme="minorHAnsi"/>
                <w:b/>
                <w:bCs/>
                <w:color w:val="0052A4"/>
                <w:sz w:val="30"/>
                <w:szCs w:val="30"/>
              </w:rPr>
              <w:t>V</w:t>
            </w:r>
            <w:r w:rsidR="00CF449F">
              <w:rPr>
                <w:rFonts w:cstheme="minorHAnsi"/>
                <w:b/>
                <w:bCs/>
                <w:color w:val="0052A4"/>
                <w:sz w:val="30"/>
                <w:szCs w:val="30"/>
              </w:rPr>
              <w:t xml:space="preserve">ersion </w:t>
            </w:r>
            <w:r w:rsidRPr="00F85A7E">
              <w:rPr>
                <w:rFonts w:cstheme="minorHAnsi"/>
                <w:b/>
                <w:bCs/>
                <w:color w:val="0052A4"/>
                <w:sz w:val="30"/>
                <w:szCs w:val="30"/>
              </w:rPr>
              <w:t>2</w:t>
            </w:r>
            <w:r w:rsidR="00CF449F">
              <w:rPr>
                <w:rFonts w:cstheme="minorHAnsi"/>
                <w:b/>
                <w:bCs/>
                <w:color w:val="0052A4"/>
                <w:sz w:val="30"/>
                <w:szCs w:val="30"/>
              </w:rPr>
              <w:t xml:space="preserve">, </w:t>
            </w:r>
            <w:r w:rsidRPr="00F85A7E">
              <w:rPr>
                <w:rFonts w:cstheme="minorHAnsi"/>
                <w:b/>
                <w:bCs/>
                <w:color w:val="0052A4"/>
                <w:sz w:val="30"/>
                <w:szCs w:val="30"/>
              </w:rPr>
              <w:t>21</w:t>
            </w:r>
            <w:r w:rsidR="00CF449F" w:rsidRPr="00CF449F">
              <w:rPr>
                <w:rFonts w:cstheme="minorHAnsi"/>
                <w:b/>
                <w:bCs/>
                <w:color w:val="0052A4"/>
                <w:sz w:val="30"/>
                <w:szCs w:val="30"/>
                <w:vertAlign w:val="superscript"/>
              </w:rPr>
              <w:t>st</w:t>
            </w:r>
            <w:r w:rsidR="00CF449F">
              <w:rPr>
                <w:rFonts w:cstheme="minorHAnsi"/>
                <w:b/>
                <w:bCs/>
                <w:color w:val="0052A4"/>
                <w:sz w:val="30"/>
                <w:szCs w:val="30"/>
              </w:rPr>
              <w:t xml:space="preserve"> Feb 20</w:t>
            </w:r>
            <w:r w:rsidRPr="00F85A7E">
              <w:rPr>
                <w:rFonts w:cstheme="minorHAnsi"/>
                <w:b/>
                <w:bCs/>
                <w:color w:val="0052A4"/>
                <w:sz w:val="30"/>
                <w:szCs w:val="30"/>
              </w:rPr>
              <w:t>23</w:t>
            </w:r>
          </w:p>
          <w:bookmarkEnd w:id="0"/>
          <w:p w14:paraId="539B6970" w14:textId="77777777" w:rsidR="00F85A7E" w:rsidRDefault="00F85A7E" w:rsidP="004E568B">
            <w:pPr>
              <w:jc w:val="center"/>
              <w:rPr>
                <w:rFonts w:cstheme="minorHAnsi"/>
                <w:b/>
                <w:bCs/>
              </w:rPr>
            </w:pPr>
          </w:p>
        </w:tc>
      </w:tr>
    </w:tbl>
    <w:p w14:paraId="75713DCC" w14:textId="77777777" w:rsidR="00F85A7E" w:rsidRDefault="00F85A7E" w:rsidP="00F85A7E">
      <w:pPr>
        <w:rPr>
          <w:rFonts w:cstheme="minorHAnsi"/>
          <w:b/>
          <w:bCs/>
        </w:rPr>
      </w:pPr>
    </w:p>
    <w:p w14:paraId="5D238FB7" w14:textId="375EE3AA" w:rsidR="004E568B" w:rsidRPr="00A6176B" w:rsidRDefault="004E568B" w:rsidP="004E568B">
      <w:pPr>
        <w:jc w:val="both"/>
        <w:rPr>
          <w:rFonts w:cstheme="minorHAnsi"/>
          <w:b/>
          <w:bCs/>
        </w:rPr>
      </w:pPr>
      <w:r w:rsidRPr="00A6176B">
        <w:rPr>
          <w:rFonts w:cstheme="minorHAnsi"/>
          <w:b/>
          <w:bCs/>
        </w:rPr>
        <w:t>Preamble</w:t>
      </w:r>
    </w:p>
    <w:p w14:paraId="0A4F0432" w14:textId="7D89AC91" w:rsidR="004E568B" w:rsidRPr="00A6176B" w:rsidRDefault="004E568B" w:rsidP="004E568B">
      <w:pPr>
        <w:jc w:val="both"/>
        <w:rPr>
          <w:rFonts w:cstheme="minorHAnsi"/>
        </w:rPr>
      </w:pPr>
      <w:r w:rsidRPr="00A6176B">
        <w:rPr>
          <w:rFonts w:cstheme="minorHAnsi"/>
        </w:rPr>
        <w:t>The Irish Pharmaceutical Healthcare Association (“</w:t>
      </w:r>
      <w:r w:rsidRPr="00A6176B">
        <w:rPr>
          <w:rFonts w:cstheme="minorHAnsi"/>
          <w:b/>
          <w:bCs/>
        </w:rPr>
        <w:t>IPHA</w:t>
      </w:r>
      <w:r w:rsidRPr="00A6176B">
        <w:rPr>
          <w:rFonts w:cstheme="minorHAnsi"/>
        </w:rPr>
        <w:t>”), which represents the international research- based pharmaceutical companies who are responsible for developing, manufacturing and bringing innovative medicines to the Irish market, has adopted the following guidelines on clinical trial compensation (the “</w:t>
      </w:r>
      <w:r w:rsidRPr="00A6176B">
        <w:rPr>
          <w:rFonts w:cstheme="minorHAnsi"/>
          <w:b/>
          <w:bCs/>
        </w:rPr>
        <w:t>Guidelines</w:t>
      </w:r>
      <w:r w:rsidRPr="00A6176B">
        <w:rPr>
          <w:rFonts w:cstheme="minorHAnsi"/>
        </w:rPr>
        <w:t xml:space="preserve">”).  </w:t>
      </w:r>
    </w:p>
    <w:p w14:paraId="1460B42E" w14:textId="77777777" w:rsidR="004E568B" w:rsidRPr="00A6176B" w:rsidRDefault="004E568B" w:rsidP="004E568B">
      <w:pPr>
        <w:jc w:val="both"/>
        <w:rPr>
          <w:rFonts w:cstheme="minorHAnsi"/>
          <w:b/>
          <w:bCs/>
        </w:rPr>
      </w:pPr>
      <w:r w:rsidRPr="00A6176B">
        <w:rPr>
          <w:rFonts w:cstheme="minorHAnsi"/>
          <w:b/>
          <w:bCs/>
        </w:rPr>
        <w:t xml:space="preserve">Introduction </w:t>
      </w:r>
    </w:p>
    <w:p w14:paraId="4B7071C2" w14:textId="54E8FE40" w:rsidR="004E568B" w:rsidRPr="00A6176B" w:rsidRDefault="004E568B" w:rsidP="004E568B">
      <w:pPr>
        <w:jc w:val="both"/>
        <w:rPr>
          <w:rFonts w:cstheme="minorHAnsi"/>
        </w:rPr>
      </w:pPr>
      <w:r w:rsidRPr="00A6176B">
        <w:rPr>
          <w:rFonts w:cstheme="minorHAnsi"/>
        </w:rPr>
        <w:t xml:space="preserve">IPHA favours a simple and expeditious procedure in relation to the provision of compensation for  injury caused by participation in clinical trials. IPHA recommends that its member companies, when sponsoring a clinical trial, without legal commitment, adhere to the within Guidelines in the event of injury caused to a patient attributable to participation in the trial in question. </w:t>
      </w:r>
    </w:p>
    <w:p w14:paraId="33C8F319" w14:textId="6F83F887" w:rsidR="004E568B" w:rsidRPr="00A6176B" w:rsidRDefault="004E568B" w:rsidP="004E568B">
      <w:pPr>
        <w:pStyle w:val="ListParagraph"/>
        <w:numPr>
          <w:ilvl w:val="0"/>
          <w:numId w:val="1"/>
        </w:numPr>
        <w:jc w:val="both"/>
        <w:rPr>
          <w:rFonts w:cstheme="minorHAnsi"/>
          <w:b/>
          <w:bCs/>
        </w:rPr>
      </w:pPr>
      <w:r w:rsidRPr="00A6176B">
        <w:rPr>
          <w:rFonts w:cstheme="minorHAnsi"/>
          <w:b/>
          <w:bCs/>
        </w:rPr>
        <w:t xml:space="preserve">Basic principles </w:t>
      </w:r>
    </w:p>
    <w:p w14:paraId="34E23C2B" w14:textId="77777777" w:rsidR="004E568B" w:rsidRPr="00A6176B" w:rsidRDefault="004E568B" w:rsidP="00DD63F9">
      <w:pPr>
        <w:pStyle w:val="ListParagraph"/>
        <w:ind w:left="360"/>
        <w:jc w:val="both"/>
        <w:rPr>
          <w:rFonts w:cstheme="minorHAnsi"/>
          <w:b/>
          <w:bCs/>
        </w:rPr>
      </w:pPr>
    </w:p>
    <w:p w14:paraId="13E6615B" w14:textId="12AEFB3A" w:rsidR="004E568B" w:rsidRPr="00A6176B" w:rsidRDefault="004E568B" w:rsidP="004E568B">
      <w:pPr>
        <w:pStyle w:val="ListParagraph"/>
        <w:numPr>
          <w:ilvl w:val="1"/>
          <w:numId w:val="1"/>
        </w:numPr>
        <w:jc w:val="both"/>
        <w:rPr>
          <w:rFonts w:cstheme="minorHAnsi"/>
        </w:rPr>
      </w:pPr>
      <w:r w:rsidRPr="00A6176B">
        <w:rPr>
          <w:rFonts w:cstheme="minorHAnsi"/>
        </w:rPr>
        <w:t xml:space="preserve">Notwithstanding the absence of legal commitment, the company should pay compensation to patient-volunteers suffering bodily injury (including death) in accordance with these Guidelines. </w:t>
      </w:r>
    </w:p>
    <w:p w14:paraId="5DE8A3A7" w14:textId="77777777" w:rsidR="004E568B" w:rsidRPr="00A6176B" w:rsidRDefault="004E568B" w:rsidP="004E568B">
      <w:pPr>
        <w:pStyle w:val="ListParagraph"/>
        <w:ind w:left="792"/>
        <w:jc w:val="both"/>
        <w:rPr>
          <w:rFonts w:cstheme="minorHAnsi"/>
        </w:rPr>
      </w:pPr>
    </w:p>
    <w:p w14:paraId="7EDD7855" w14:textId="6ACA4283" w:rsidR="004E568B" w:rsidRPr="00A6176B" w:rsidRDefault="004E568B" w:rsidP="004E568B">
      <w:pPr>
        <w:pStyle w:val="ListParagraph"/>
        <w:numPr>
          <w:ilvl w:val="1"/>
          <w:numId w:val="1"/>
        </w:numPr>
        <w:jc w:val="both"/>
        <w:rPr>
          <w:rFonts w:cstheme="minorHAnsi"/>
        </w:rPr>
      </w:pPr>
      <w:r w:rsidRPr="00A6176B">
        <w:rPr>
          <w:rFonts w:cstheme="minorHAnsi"/>
        </w:rPr>
        <w:t>Compensation should be paid when, on the balance of probabilities, the injury was  attributable to the administration of a medicinal product under trial or any clinical  intervention or procedure provided for by the clinical trial protocol that would not have occurred but for  the inclusion of the patient in the trial.</w:t>
      </w:r>
    </w:p>
    <w:p w14:paraId="115E432D" w14:textId="77777777" w:rsidR="004E568B" w:rsidRPr="00A6176B" w:rsidRDefault="004E568B" w:rsidP="004E568B">
      <w:pPr>
        <w:pStyle w:val="ListParagraph"/>
        <w:rPr>
          <w:rFonts w:cstheme="minorHAnsi"/>
        </w:rPr>
      </w:pPr>
    </w:p>
    <w:p w14:paraId="26D3C6C7" w14:textId="51F466C5" w:rsidR="004E568B" w:rsidRPr="00A6176B" w:rsidRDefault="004E568B" w:rsidP="004E568B">
      <w:pPr>
        <w:pStyle w:val="ListParagraph"/>
        <w:numPr>
          <w:ilvl w:val="1"/>
          <w:numId w:val="1"/>
        </w:numPr>
        <w:jc w:val="both"/>
        <w:rPr>
          <w:rFonts w:cstheme="minorHAnsi"/>
        </w:rPr>
      </w:pPr>
      <w:r w:rsidRPr="00A6176B">
        <w:rPr>
          <w:rFonts w:cstheme="minorHAnsi"/>
        </w:rPr>
        <w:t xml:space="preserve">Compensation should be paid to a child injured in utero through the participation of the  subject's mother in a clinical trial as if the child were a patient-volunteer with the full benefits  of these Guidelines. </w:t>
      </w:r>
    </w:p>
    <w:p w14:paraId="257D9869" w14:textId="77777777" w:rsidR="004E568B" w:rsidRPr="00A6176B" w:rsidRDefault="004E568B" w:rsidP="004E568B">
      <w:pPr>
        <w:pStyle w:val="ListParagraph"/>
        <w:rPr>
          <w:rFonts w:cstheme="minorHAnsi"/>
        </w:rPr>
      </w:pPr>
    </w:p>
    <w:p w14:paraId="01A6DFA1" w14:textId="77777777" w:rsidR="004E568B" w:rsidRPr="00A6176B" w:rsidRDefault="004E568B" w:rsidP="004E568B">
      <w:pPr>
        <w:pStyle w:val="ListParagraph"/>
        <w:numPr>
          <w:ilvl w:val="1"/>
          <w:numId w:val="1"/>
        </w:numPr>
        <w:jc w:val="both"/>
        <w:rPr>
          <w:rFonts w:cstheme="minorHAnsi"/>
        </w:rPr>
      </w:pPr>
      <w:r w:rsidRPr="00A6176B">
        <w:rPr>
          <w:rFonts w:cstheme="minorHAnsi"/>
        </w:rPr>
        <w:t xml:space="preserve">Compensation should only be paid for the more serious injury of an enduring and disabling  character (including exacerbation of an existing condition) and not for temporary pain or  discomfort or less serious or curable complaints. </w:t>
      </w:r>
    </w:p>
    <w:p w14:paraId="79DDD397" w14:textId="77777777" w:rsidR="004E568B" w:rsidRPr="00A6176B" w:rsidRDefault="004E568B" w:rsidP="004E568B">
      <w:pPr>
        <w:pStyle w:val="ListParagraph"/>
        <w:rPr>
          <w:rFonts w:cstheme="minorHAnsi"/>
        </w:rPr>
      </w:pPr>
    </w:p>
    <w:p w14:paraId="1D1E6615" w14:textId="096ECF4B" w:rsidR="004E568B" w:rsidRPr="00A6176B" w:rsidRDefault="004E568B" w:rsidP="004E568B">
      <w:pPr>
        <w:pStyle w:val="ListParagraph"/>
        <w:numPr>
          <w:ilvl w:val="1"/>
          <w:numId w:val="1"/>
        </w:numPr>
        <w:jc w:val="both"/>
        <w:rPr>
          <w:rFonts w:cstheme="minorHAnsi"/>
        </w:rPr>
      </w:pPr>
      <w:r w:rsidRPr="00A6176B">
        <w:rPr>
          <w:rFonts w:cstheme="minorHAnsi"/>
        </w:rPr>
        <w:t xml:space="preserve">Where there is an adverse reaction to a medicinal product under trial and injury is caused  by a procedure adopted to deal with that adverse reaction, compensation should be paid for such injury as if it were caused directly by the medicinal product under trial. </w:t>
      </w:r>
    </w:p>
    <w:p w14:paraId="323EEC0D" w14:textId="77777777" w:rsidR="004E568B" w:rsidRPr="00A6176B" w:rsidRDefault="004E568B" w:rsidP="004E568B">
      <w:pPr>
        <w:pStyle w:val="ListParagraph"/>
        <w:rPr>
          <w:rFonts w:cstheme="minorHAnsi"/>
        </w:rPr>
      </w:pPr>
    </w:p>
    <w:p w14:paraId="40275A57" w14:textId="745C4296" w:rsidR="004E568B" w:rsidRPr="00A6176B" w:rsidRDefault="004E568B" w:rsidP="004E568B">
      <w:pPr>
        <w:pStyle w:val="ListParagraph"/>
        <w:numPr>
          <w:ilvl w:val="1"/>
          <w:numId w:val="1"/>
        </w:numPr>
        <w:jc w:val="both"/>
        <w:rPr>
          <w:rFonts w:cstheme="minorHAnsi"/>
        </w:rPr>
      </w:pPr>
      <w:r w:rsidRPr="00A6176B">
        <w:rPr>
          <w:rFonts w:cstheme="minorHAnsi"/>
        </w:rPr>
        <w:t xml:space="preserve">Neither the fact that the adverse reaction causing the injury was foreseeable or predictable, nor the fact that the patient has freely consented (whether in writing or otherwise) to participate in the trial should in and of themselves exclude the patient from consideration for compensation under these Guidelines, unless the adverse reaction was a known side effect </w:t>
      </w:r>
      <w:r w:rsidRPr="00A6176B">
        <w:rPr>
          <w:rFonts w:cstheme="minorHAnsi"/>
        </w:rPr>
        <w:lastRenderedPageBreak/>
        <w:t>and the patient was fully informed prior to submitting to the trial. Compensation may also be reduced or excluded if the factors described in paragraph 4.2 below apply.</w:t>
      </w:r>
    </w:p>
    <w:p w14:paraId="40C180B1" w14:textId="77777777" w:rsidR="004E568B" w:rsidRPr="00A6176B" w:rsidRDefault="004E568B" w:rsidP="004E568B">
      <w:pPr>
        <w:pStyle w:val="ListParagraph"/>
        <w:rPr>
          <w:rFonts w:cstheme="minorHAnsi"/>
        </w:rPr>
      </w:pPr>
    </w:p>
    <w:p w14:paraId="68723739" w14:textId="6F488554" w:rsidR="004E568B" w:rsidRPr="00A6176B" w:rsidRDefault="004E568B" w:rsidP="004E568B">
      <w:pPr>
        <w:pStyle w:val="ListParagraph"/>
        <w:numPr>
          <w:ilvl w:val="1"/>
          <w:numId w:val="1"/>
        </w:numPr>
        <w:jc w:val="both"/>
        <w:rPr>
          <w:rFonts w:cstheme="minorHAnsi"/>
        </w:rPr>
      </w:pPr>
      <w:r w:rsidRPr="00A6176B">
        <w:rPr>
          <w:rFonts w:cstheme="minorHAnsi"/>
        </w:rPr>
        <w:t xml:space="preserve">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 </w:t>
      </w:r>
    </w:p>
    <w:p w14:paraId="250D9EC1" w14:textId="77777777" w:rsidR="004E568B" w:rsidRPr="00A6176B" w:rsidRDefault="004E568B" w:rsidP="004E568B">
      <w:pPr>
        <w:pStyle w:val="ListParagraph"/>
        <w:rPr>
          <w:rFonts w:cstheme="minorHAnsi"/>
        </w:rPr>
      </w:pPr>
    </w:p>
    <w:p w14:paraId="4FD47808" w14:textId="77777777" w:rsidR="004E568B" w:rsidRPr="00A6176B" w:rsidRDefault="004E568B" w:rsidP="004E568B">
      <w:pPr>
        <w:pStyle w:val="ListParagraph"/>
        <w:ind w:left="792"/>
        <w:jc w:val="both"/>
        <w:rPr>
          <w:rFonts w:cstheme="minorHAnsi"/>
        </w:rPr>
      </w:pPr>
    </w:p>
    <w:p w14:paraId="65155072" w14:textId="36AF592D" w:rsidR="004E568B" w:rsidRPr="00A6176B" w:rsidRDefault="004E568B" w:rsidP="004E568B">
      <w:pPr>
        <w:pStyle w:val="ListParagraph"/>
        <w:numPr>
          <w:ilvl w:val="0"/>
          <w:numId w:val="1"/>
        </w:numPr>
        <w:jc w:val="both"/>
        <w:rPr>
          <w:rFonts w:cstheme="minorHAnsi"/>
          <w:b/>
          <w:bCs/>
        </w:rPr>
      </w:pPr>
      <w:r w:rsidRPr="00A6176B">
        <w:rPr>
          <w:rFonts w:cstheme="minorHAnsi"/>
          <w:b/>
          <w:bCs/>
        </w:rPr>
        <w:t>Type of clinical research covered</w:t>
      </w:r>
    </w:p>
    <w:p w14:paraId="7FFCDB80" w14:textId="77777777" w:rsidR="004E568B" w:rsidRPr="00A6176B" w:rsidRDefault="004E568B" w:rsidP="00DD63F9">
      <w:pPr>
        <w:pStyle w:val="ListParagraph"/>
        <w:ind w:left="360"/>
        <w:jc w:val="both"/>
        <w:rPr>
          <w:rFonts w:cstheme="minorHAnsi"/>
          <w:b/>
          <w:bCs/>
        </w:rPr>
      </w:pPr>
    </w:p>
    <w:p w14:paraId="2DBCE5DC" w14:textId="4C2FC806" w:rsidR="004E568B" w:rsidRPr="00A6176B" w:rsidRDefault="004E568B" w:rsidP="004E568B">
      <w:pPr>
        <w:pStyle w:val="ListParagraph"/>
        <w:numPr>
          <w:ilvl w:val="1"/>
          <w:numId w:val="1"/>
        </w:numPr>
        <w:jc w:val="both"/>
        <w:rPr>
          <w:rFonts w:cstheme="minorHAnsi"/>
        </w:rPr>
      </w:pPr>
      <w:r w:rsidRPr="00A6176B">
        <w:rPr>
          <w:rFonts w:cstheme="minorHAnsi"/>
        </w:rPr>
        <w:t>These Guidelines apply to injury caused to patients involved in Phase II and Phase III  trials, that is to say, patients under treatment and surveillance (usually in hospital) and suffering from the ailment for which the medicinal product under trial is intended but for which a product licence does not exist or where the product licence does not authorise  supply for administration under the conditions of the trial.</w:t>
      </w:r>
    </w:p>
    <w:p w14:paraId="79F9EEF6" w14:textId="77777777" w:rsidR="004E568B" w:rsidRPr="00A6176B" w:rsidRDefault="004E568B" w:rsidP="004E568B">
      <w:pPr>
        <w:pStyle w:val="ListParagraph"/>
        <w:ind w:left="792"/>
        <w:jc w:val="both"/>
        <w:rPr>
          <w:rFonts w:cstheme="minorHAnsi"/>
        </w:rPr>
      </w:pPr>
    </w:p>
    <w:p w14:paraId="789C15F9" w14:textId="77777777" w:rsidR="004E568B" w:rsidRPr="00A6176B" w:rsidRDefault="004E568B" w:rsidP="004E568B">
      <w:pPr>
        <w:pStyle w:val="ListParagraph"/>
        <w:numPr>
          <w:ilvl w:val="1"/>
          <w:numId w:val="1"/>
        </w:numPr>
        <w:jc w:val="both"/>
        <w:rPr>
          <w:rFonts w:cstheme="minorHAnsi"/>
        </w:rPr>
      </w:pPr>
      <w:r w:rsidRPr="00A6176B">
        <w:rPr>
          <w:rFonts w:cstheme="minorHAnsi"/>
        </w:rPr>
        <w:t>These Guidelines also apply to injuries arising from studies in non-patient volunteers  (Phase I), whether or not they are in hospital.</w:t>
      </w:r>
    </w:p>
    <w:p w14:paraId="1703D796" w14:textId="77777777" w:rsidR="004E568B" w:rsidRPr="00A6176B" w:rsidRDefault="004E568B" w:rsidP="004E568B">
      <w:pPr>
        <w:pStyle w:val="ListParagraph"/>
        <w:rPr>
          <w:rFonts w:cstheme="minorHAnsi"/>
        </w:rPr>
      </w:pPr>
    </w:p>
    <w:p w14:paraId="436C8E23" w14:textId="60196638" w:rsidR="004E568B" w:rsidRPr="00A6176B" w:rsidRDefault="004E568B" w:rsidP="004E568B">
      <w:pPr>
        <w:pStyle w:val="ListParagraph"/>
        <w:numPr>
          <w:ilvl w:val="1"/>
          <w:numId w:val="1"/>
        </w:numPr>
        <w:jc w:val="both"/>
        <w:rPr>
          <w:rFonts w:cstheme="minorHAnsi"/>
        </w:rPr>
      </w:pPr>
      <w:r w:rsidRPr="00A6176B">
        <w:rPr>
          <w:rFonts w:cstheme="minorHAnsi"/>
        </w:rPr>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3695A94F" w14:textId="77777777" w:rsidR="004E568B" w:rsidRPr="00A6176B" w:rsidRDefault="004E568B" w:rsidP="004E568B">
      <w:pPr>
        <w:pStyle w:val="ListParagraph"/>
        <w:rPr>
          <w:rFonts w:cstheme="minorHAnsi"/>
        </w:rPr>
      </w:pPr>
    </w:p>
    <w:p w14:paraId="0846A209" w14:textId="2C14A7E1" w:rsidR="004E568B" w:rsidRPr="00A6176B" w:rsidRDefault="004E568B" w:rsidP="004E568B">
      <w:pPr>
        <w:pStyle w:val="ListParagraph"/>
        <w:numPr>
          <w:ilvl w:val="1"/>
          <w:numId w:val="1"/>
        </w:numPr>
        <w:jc w:val="both"/>
        <w:rPr>
          <w:rFonts w:cstheme="minorHAnsi"/>
        </w:rPr>
      </w:pPr>
      <w:r w:rsidRPr="00A6176B">
        <w:rPr>
          <w:rFonts w:cstheme="minorHAnsi"/>
        </w:rPr>
        <w:t xml:space="preserve">These Guidelines do not apply to clinical trials, which have not been sponsored by the  company providing the product for research (with ‘sponsor’ in this respect meaning the natural/legal person which takes responsibility for the initiation, management and for setting up the financing of the clinical trial).  When trials of products are sponsored or otherwise initiated independently by doctors, responsibility for the health and welfare of patients rests with the  doctor, and not the company providing the product for research(see also paragraph 5.2 below). </w:t>
      </w:r>
    </w:p>
    <w:p w14:paraId="41A23E8E" w14:textId="77777777" w:rsidR="004E568B" w:rsidRPr="00A6176B" w:rsidRDefault="004E568B" w:rsidP="004E568B">
      <w:pPr>
        <w:pStyle w:val="ListParagraph"/>
        <w:ind w:left="792"/>
        <w:jc w:val="both"/>
        <w:rPr>
          <w:rFonts w:cstheme="minorHAnsi"/>
        </w:rPr>
      </w:pPr>
    </w:p>
    <w:p w14:paraId="0B298987" w14:textId="1D23E63E" w:rsidR="004E568B" w:rsidRPr="00A6176B" w:rsidRDefault="004E568B" w:rsidP="004E568B">
      <w:pPr>
        <w:pStyle w:val="ListParagraph"/>
        <w:numPr>
          <w:ilvl w:val="0"/>
          <w:numId w:val="1"/>
        </w:numPr>
        <w:jc w:val="both"/>
        <w:rPr>
          <w:rFonts w:cstheme="minorHAnsi"/>
          <w:b/>
          <w:bCs/>
        </w:rPr>
      </w:pPr>
      <w:r w:rsidRPr="00A6176B">
        <w:rPr>
          <w:rFonts w:cstheme="minorHAnsi"/>
          <w:b/>
          <w:bCs/>
        </w:rPr>
        <w:t>Limitations</w:t>
      </w:r>
    </w:p>
    <w:p w14:paraId="528D478D" w14:textId="47219BDB" w:rsidR="004E568B" w:rsidRPr="00A6176B" w:rsidRDefault="004E568B" w:rsidP="004E568B">
      <w:pPr>
        <w:pStyle w:val="ListParagraph"/>
        <w:numPr>
          <w:ilvl w:val="1"/>
          <w:numId w:val="1"/>
        </w:numPr>
        <w:jc w:val="both"/>
        <w:rPr>
          <w:rFonts w:cstheme="minorHAnsi"/>
        </w:rPr>
      </w:pPr>
      <w:r w:rsidRPr="00A6176B">
        <w:rPr>
          <w:rFonts w:cstheme="minorHAnsi"/>
        </w:rPr>
        <w:t>No compensation should be paid for the failure of the medicinal product to have its  intended effect or to provide any other benefit to the patient.</w:t>
      </w:r>
    </w:p>
    <w:p w14:paraId="6F64EAC6" w14:textId="77777777" w:rsidR="004E568B" w:rsidRPr="00A6176B" w:rsidRDefault="004E568B" w:rsidP="004E568B">
      <w:pPr>
        <w:pStyle w:val="ListParagraph"/>
        <w:ind w:left="792"/>
        <w:jc w:val="both"/>
        <w:rPr>
          <w:rFonts w:cstheme="minorHAnsi"/>
        </w:rPr>
      </w:pPr>
    </w:p>
    <w:p w14:paraId="213DA718" w14:textId="77777777" w:rsidR="004E568B" w:rsidRPr="00A6176B" w:rsidRDefault="004E568B" w:rsidP="004E568B">
      <w:pPr>
        <w:pStyle w:val="ListParagraph"/>
        <w:numPr>
          <w:ilvl w:val="1"/>
          <w:numId w:val="1"/>
        </w:numPr>
        <w:jc w:val="both"/>
        <w:rPr>
          <w:rFonts w:cstheme="minorHAnsi"/>
        </w:rPr>
      </w:pPr>
      <w:r w:rsidRPr="00A6176B">
        <w:rPr>
          <w:rFonts w:cstheme="minorHAnsi"/>
        </w:rPr>
        <w:t xml:space="preserve">No compensation should be paid for injury caused by other licensed medicinal products administered to the patient for the purpose of comparison with the product under trial. </w:t>
      </w:r>
    </w:p>
    <w:p w14:paraId="5540062E" w14:textId="77777777" w:rsidR="004E568B" w:rsidRPr="00A6176B" w:rsidRDefault="004E568B" w:rsidP="004E568B">
      <w:pPr>
        <w:pStyle w:val="ListParagraph"/>
        <w:rPr>
          <w:rFonts w:cstheme="minorHAnsi"/>
        </w:rPr>
      </w:pPr>
    </w:p>
    <w:p w14:paraId="70C44C88" w14:textId="15CD5C5A" w:rsidR="004E568B" w:rsidRPr="00A6176B" w:rsidRDefault="004E568B" w:rsidP="004E568B">
      <w:pPr>
        <w:pStyle w:val="ListParagraph"/>
        <w:numPr>
          <w:ilvl w:val="1"/>
          <w:numId w:val="1"/>
        </w:numPr>
        <w:jc w:val="both"/>
        <w:rPr>
          <w:rFonts w:cstheme="minorHAnsi"/>
        </w:rPr>
      </w:pPr>
      <w:r w:rsidRPr="00A6176B">
        <w:rPr>
          <w:rFonts w:cstheme="minorHAnsi"/>
        </w:rPr>
        <w:t>No compensation should be paid to patients receiving a placebo in consideration of its  failure to provide a therapeutic benefit.</w:t>
      </w:r>
    </w:p>
    <w:p w14:paraId="35B8EBB4" w14:textId="77777777" w:rsidR="004E568B" w:rsidRPr="00A6176B" w:rsidRDefault="004E568B" w:rsidP="004E568B">
      <w:pPr>
        <w:pStyle w:val="ListParagraph"/>
        <w:rPr>
          <w:rFonts w:cstheme="minorHAnsi"/>
        </w:rPr>
      </w:pPr>
    </w:p>
    <w:p w14:paraId="642D3497" w14:textId="77777777" w:rsidR="004E568B" w:rsidRPr="00A6176B" w:rsidRDefault="004E568B" w:rsidP="004E568B">
      <w:pPr>
        <w:pStyle w:val="ListParagraph"/>
        <w:numPr>
          <w:ilvl w:val="1"/>
          <w:numId w:val="1"/>
        </w:numPr>
        <w:jc w:val="both"/>
        <w:rPr>
          <w:rFonts w:cstheme="minorHAnsi"/>
        </w:rPr>
      </w:pPr>
      <w:r w:rsidRPr="00A6176B">
        <w:rPr>
          <w:rFonts w:cstheme="minorHAnsi"/>
        </w:rPr>
        <w:t xml:space="preserve">No compensation should be paid to patients to the extent that the injury suffered is a  direct result of a patient’s failure to disclose that they are taking a particular medication  (prescription or otherwise). </w:t>
      </w:r>
    </w:p>
    <w:p w14:paraId="35477AA5" w14:textId="77777777" w:rsidR="004E568B" w:rsidRPr="00A6176B" w:rsidRDefault="004E568B" w:rsidP="004E568B">
      <w:pPr>
        <w:pStyle w:val="ListParagraph"/>
        <w:rPr>
          <w:rFonts w:cstheme="minorHAnsi"/>
        </w:rPr>
      </w:pPr>
    </w:p>
    <w:p w14:paraId="02D3787A" w14:textId="2F793D07" w:rsidR="004E568B" w:rsidRPr="00A6176B" w:rsidRDefault="004E568B" w:rsidP="004E568B">
      <w:pPr>
        <w:pStyle w:val="ListParagraph"/>
        <w:numPr>
          <w:ilvl w:val="1"/>
          <w:numId w:val="1"/>
        </w:numPr>
        <w:jc w:val="both"/>
        <w:rPr>
          <w:rFonts w:cstheme="minorHAnsi"/>
        </w:rPr>
      </w:pPr>
      <w:r w:rsidRPr="00A6176B">
        <w:rPr>
          <w:rFonts w:cstheme="minorHAnsi"/>
        </w:rPr>
        <w:t>No compensation should be paid (or compensation should be reduced as the case may be) to the extent  that the injury has arisen:</w:t>
      </w:r>
    </w:p>
    <w:p w14:paraId="05C18018" w14:textId="77777777" w:rsidR="004E568B" w:rsidRPr="00A6176B" w:rsidRDefault="004E568B" w:rsidP="004E568B">
      <w:pPr>
        <w:pStyle w:val="ListParagraph"/>
        <w:rPr>
          <w:rFonts w:cstheme="minorHAnsi"/>
        </w:rPr>
      </w:pPr>
    </w:p>
    <w:p w14:paraId="361CDD03" w14:textId="52D98527" w:rsidR="004E568B" w:rsidRPr="00A6176B" w:rsidRDefault="004E568B" w:rsidP="004E568B">
      <w:pPr>
        <w:pStyle w:val="ListParagraph"/>
        <w:numPr>
          <w:ilvl w:val="2"/>
          <w:numId w:val="1"/>
        </w:numPr>
        <w:jc w:val="both"/>
        <w:rPr>
          <w:rFonts w:cstheme="minorHAnsi"/>
        </w:rPr>
      </w:pPr>
      <w:r w:rsidRPr="00A6176B">
        <w:rPr>
          <w:rFonts w:cstheme="minorHAnsi"/>
        </w:rPr>
        <w:t>through a significant and/or material departure from the agreed protocol;</w:t>
      </w:r>
    </w:p>
    <w:p w14:paraId="7DD60F85" w14:textId="77777777" w:rsidR="004E568B" w:rsidRPr="00A6176B" w:rsidRDefault="004E568B" w:rsidP="00DD63F9">
      <w:pPr>
        <w:pStyle w:val="ListParagraph"/>
        <w:ind w:left="1224"/>
        <w:jc w:val="both"/>
        <w:rPr>
          <w:rFonts w:cstheme="minorHAnsi"/>
        </w:rPr>
      </w:pPr>
    </w:p>
    <w:p w14:paraId="344CD8FF" w14:textId="59270AA9" w:rsidR="004E568B" w:rsidRPr="00A6176B" w:rsidRDefault="004E568B" w:rsidP="004E568B">
      <w:pPr>
        <w:pStyle w:val="ListParagraph"/>
        <w:numPr>
          <w:ilvl w:val="2"/>
          <w:numId w:val="1"/>
        </w:numPr>
        <w:jc w:val="both"/>
        <w:rPr>
          <w:rFonts w:cstheme="minorHAnsi"/>
        </w:rPr>
      </w:pPr>
      <w:r w:rsidRPr="00A6176B">
        <w:rPr>
          <w:rFonts w:cstheme="minorHAnsi"/>
        </w:rPr>
        <w:t xml:space="preserve"> through the wrongful act or default of a third party, including a healthcare  professional's failure to deal adequately with an adverse reaction and/or failure by a healthcare professional to provide the necessary standard of care; or</w:t>
      </w:r>
    </w:p>
    <w:p w14:paraId="34F3114D" w14:textId="77777777" w:rsidR="004E568B" w:rsidRPr="00A6176B" w:rsidRDefault="004E568B" w:rsidP="00DD63F9">
      <w:pPr>
        <w:pStyle w:val="ListParagraph"/>
        <w:ind w:left="1224"/>
        <w:jc w:val="both"/>
        <w:rPr>
          <w:rFonts w:cstheme="minorHAnsi"/>
        </w:rPr>
      </w:pPr>
    </w:p>
    <w:p w14:paraId="0DD439DF" w14:textId="49D0DC6C" w:rsidR="004E568B" w:rsidRPr="00A6176B" w:rsidRDefault="004E568B" w:rsidP="004E568B">
      <w:pPr>
        <w:pStyle w:val="ListParagraph"/>
        <w:numPr>
          <w:ilvl w:val="2"/>
          <w:numId w:val="1"/>
        </w:numPr>
        <w:jc w:val="both"/>
        <w:rPr>
          <w:rFonts w:cstheme="minorHAnsi"/>
        </w:rPr>
      </w:pPr>
      <w:r w:rsidRPr="00A6176B">
        <w:rPr>
          <w:rFonts w:cstheme="minorHAnsi"/>
        </w:rPr>
        <w:t>through contributory negligence by the patient and/or (as relevant) any other party (apart from the company).</w:t>
      </w:r>
    </w:p>
    <w:p w14:paraId="0404B119" w14:textId="7C3C2577" w:rsidR="004E568B" w:rsidRPr="00A6176B" w:rsidRDefault="004E568B" w:rsidP="004E568B">
      <w:pPr>
        <w:pStyle w:val="ListParagraph"/>
        <w:ind w:left="1224"/>
        <w:jc w:val="both"/>
        <w:rPr>
          <w:rFonts w:cstheme="minorHAnsi"/>
        </w:rPr>
      </w:pPr>
    </w:p>
    <w:p w14:paraId="2A763221" w14:textId="77777777" w:rsidR="004E568B" w:rsidRPr="00A6176B" w:rsidRDefault="004E568B" w:rsidP="004E568B">
      <w:pPr>
        <w:pStyle w:val="ListParagraph"/>
        <w:ind w:left="1224"/>
        <w:jc w:val="both"/>
        <w:rPr>
          <w:rFonts w:cstheme="minorHAnsi"/>
        </w:rPr>
      </w:pPr>
    </w:p>
    <w:p w14:paraId="21BCCF38" w14:textId="7805621B" w:rsidR="004E568B" w:rsidRPr="00A6176B" w:rsidRDefault="004E568B" w:rsidP="004E568B">
      <w:pPr>
        <w:pStyle w:val="ListParagraph"/>
        <w:numPr>
          <w:ilvl w:val="0"/>
          <w:numId w:val="1"/>
        </w:numPr>
        <w:jc w:val="both"/>
        <w:rPr>
          <w:rFonts w:cstheme="minorHAnsi"/>
          <w:b/>
          <w:bCs/>
        </w:rPr>
      </w:pPr>
      <w:r w:rsidRPr="00A6176B">
        <w:rPr>
          <w:rFonts w:cstheme="minorHAnsi"/>
          <w:b/>
          <w:bCs/>
        </w:rPr>
        <w:t xml:space="preserve">Assessment of compensation </w:t>
      </w:r>
    </w:p>
    <w:p w14:paraId="0191A8B6" w14:textId="77777777" w:rsidR="004E568B" w:rsidRPr="00A6176B" w:rsidRDefault="004E568B" w:rsidP="00DD63F9">
      <w:pPr>
        <w:pStyle w:val="ListParagraph"/>
        <w:ind w:left="360"/>
        <w:jc w:val="both"/>
        <w:rPr>
          <w:rFonts w:cstheme="minorHAnsi"/>
          <w:b/>
          <w:bCs/>
        </w:rPr>
      </w:pPr>
    </w:p>
    <w:p w14:paraId="1C0C97B9" w14:textId="04682B34" w:rsidR="004E568B" w:rsidRPr="00A6176B" w:rsidRDefault="004E568B" w:rsidP="004E568B">
      <w:pPr>
        <w:pStyle w:val="ListParagraph"/>
        <w:numPr>
          <w:ilvl w:val="1"/>
          <w:numId w:val="1"/>
        </w:numPr>
        <w:jc w:val="both"/>
        <w:rPr>
          <w:rFonts w:cstheme="minorHAnsi"/>
        </w:rPr>
      </w:pPr>
      <w:r w:rsidRPr="00A6176B">
        <w:rPr>
          <w:rFonts w:cstheme="minorHAnsi"/>
        </w:rPr>
        <w:t>The amount of compensation paid should be appropriate to the nature, severity and  persistence of the injury and should in general terms be consistent with the quantum of  damages commonly awarded for similar injuries by the Irish Courts at the time the claim is made,  in cases where legal liability is admitted, and also any relevant guideline</w:t>
      </w:r>
      <w:r w:rsidR="00A71C11">
        <w:rPr>
          <w:rFonts w:cstheme="minorHAnsi"/>
        </w:rPr>
        <w:t>s</w:t>
      </w:r>
      <w:r w:rsidR="00A71C11">
        <w:rPr>
          <w:rStyle w:val="FootnoteReference"/>
          <w:rFonts w:cstheme="minorHAnsi"/>
        </w:rPr>
        <w:footnoteReference w:id="1"/>
      </w:r>
      <w:r w:rsidRPr="00A6176B">
        <w:rPr>
          <w:rFonts w:cstheme="minorHAnsi"/>
        </w:rPr>
        <w:t xml:space="preserve"> for awards of damages having force of law in Ireland.</w:t>
      </w:r>
    </w:p>
    <w:p w14:paraId="6C6399B9" w14:textId="77777777" w:rsidR="004E568B" w:rsidRPr="00A6176B" w:rsidRDefault="004E568B" w:rsidP="004E568B">
      <w:pPr>
        <w:pStyle w:val="ListParagraph"/>
        <w:ind w:left="792"/>
        <w:jc w:val="both"/>
        <w:rPr>
          <w:rFonts w:cstheme="minorHAnsi"/>
        </w:rPr>
      </w:pPr>
    </w:p>
    <w:p w14:paraId="0C85D22C" w14:textId="6CA4EBB4" w:rsidR="004E568B" w:rsidRPr="00A6176B" w:rsidRDefault="004E568B" w:rsidP="004E568B">
      <w:pPr>
        <w:pStyle w:val="ListParagraph"/>
        <w:numPr>
          <w:ilvl w:val="1"/>
          <w:numId w:val="1"/>
        </w:numPr>
        <w:jc w:val="both"/>
        <w:rPr>
          <w:rFonts w:cstheme="minorHAnsi"/>
        </w:rPr>
      </w:pPr>
      <w:r w:rsidRPr="00A6176B">
        <w:rPr>
          <w:rFonts w:cstheme="minorHAnsi"/>
        </w:rPr>
        <w:t>Compensation may be reduced, or in certain circumstances excluded, in the light of the  following factors (on which will depend the level of risk the patient can reasonably be  expected to accept):</w:t>
      </w:r>
    </w:p>
    <w:p w14:paraId="605DE0CC" w14:textId="77777777" w:rsidR="004E568B" w:rsidRPr="00A6176B" w:rsidRDefault="004E568B" w:rsidP="004E568B">
      <w:pPr>
        <w:pStyle w:val="ListParagraph"/>
        <w:ind w:left="792"/>
        <w:jc w:val="both"/>
        <w:rPr>
          <w:rFonts w:cstheme="minorHAnsi"/>
        </w:rPr>
      </w:pPr>
    </w:p>
    <w:p w14:paraId="053E2536" w14:textId="3ED4035C" w:rsidR="004E568B" w:rsidRPr="00A6176B" w:rsidRDefault="004E568B" w:rsidP="004E568B">
      <w:pPr>
        <w:pStyle w:val="ListParagraph"/>
        <w:numPr>
          <w:ilvl w:val="2"/>
          <w:numId w:val="1"/>
        </w:numPr>
        <w:jc w:val="both"/>
        <w:rPr>
          <w:rFonts w:cstheme="minorHAnsi"/>
        </w:rPr>
      </w:pPr>
      <w:r w:rsidRPr="00A6176B">
        <w:rPr>
          <w:rFonts w:cstheme="minorHAnsi"/>
        </w:rPr>
        <w:t>the seriousness of the disease being treated, the degree of probability that  adverse reactions will occur and any warnings given; or</w:t>
      </w:r>
    </w:p>
    <w:p w14:paraId="6691C01A" w14:textId="77777777" w:rsidR="004E568B" w:rsidRPr="00A6176B" w:rsidRDefault="004E568B" w:rsidP="004E568B">
      <w:pPr>
        <w:pStyle w:val="ListParagraph"/>
        <w:ind w:left="1224"/>
        <w:jc w:val="both"/>
        <w:rPr>
          <w:rFonts w:cstheme="minorHAnsi"/>
        </w:rPr>
      </w:pPr>
    </w:p>
    <w:p w14:paraId="1379835C" w14:textId="77777777" w:rsidR="004E568B" w:rsidRPr="00A6176B" w:rsidRDefault="004E568B" w:rsidP="004E568B">
      <w:pPr>
        <w:pStyle w:val="ListParagraph"/>
        <w:numPr>
          <w:ilvl w:val="2"/>
          <w:numId w:val="1"/>
        </w:numPr>
        <w:jc w:val="both"/>
        <w:rPr>
          <w:rFonts w:cstheme="minorHAnsi"/>
        </w:rPr>
      </w:pPr>
      <w:r w:rsidRPr="00A6176B">
        <w:rPr>
          <w:rFonts w:cstheme="minorHAnsi"/>
        </w:rPr>
        <w:t xml:space="preserve"> the risks and benefits of established treatments relative to those known or  suspected of the trial medicine. </w:t>
      </w:r>
    </w:p>
    <w:p w14:paraId="37B11B04" w14:textId="77777777" w:rsidR="004E568B" w:rsidRPr="00A6176B" w:rsidRDefault="004E568B" w:rsidP="004E568B">
      <w:pPr>
        <w:pStyle w:val="ListParagraph"/>
        <w:rPr>
          <w:rFonts w:cstheme="minorHAnsi"/>
        </w:rPr>
      </w:pPr>
    </w:p>
    <w:p w14:paraId="402DA909" w14:textId="2554707E" w:rsidR="004E568B" w:rsidRPr="00A6176B" w:rsidRDefault="004E568B" w:rsidP="00DD63F9">
      <w:pPr>
        <w:pStyle w:val="ListParagraph"/>
        <w:ind w:left="792"/>
        <w:jc w:val="both"/>
        <w:rPr>
          <w:rFonts w:cstheme="minorHAnsi"/>
        </w:rPr>
      </w:pPr>
      <w:r w:rsidRPr="00A6176B">
        <w:rPr>
          <w:rFonts w:cstheme="minorHAnsi"/>
        </w:rPr>
        <w:t xml:space="preserve">This reflects the fact that flexibility is required given the </w:t>
      </w:r>
      <w:proofErr w:type="gramStart"/>
      <w:r w:rsidRPr="00A6176B">
        <w:rPr>
          <w:rFonts w:cstheme="minorHAnsi"/>
        </w:rPr>
        <w:t>particular patient's</w:t>
      </w:r>
      <w:proofErr w:type="gramEnd"/>
      <w:r w:rsidRPr="00A6176B">
        <w:rPr>
          <w:rFonts w:cstheme="minorHAnsi"/>
        </w:rPr>
        <w:t xml:space="preserve"> circumstances. As an extreme example, there may be a patient suffering from a serious or life-threatening disease who is warned of a certain defined risk of an  adverse reaction. Participation in the trial is then based on an expectation that  the benefit/risk ratio associated with participation may be better than that associated with the alternative treatment. It is, therefore, reasonable that the patient accepts the high-risk and should not expect compensation for the occurrence of the adverse reaction of which he or she was told. </w:t>
      </w:r>
    </w:p>
    <w:p w14:paraId="6A7260AB" w14:textId="77777777" w:rsidR="004E568B" w:rsidRPr="00A6176B" w:rsidRDefault="004E568B" w:rsidP="004E568B">
      <w:pPr>
        <w:pStyle w:val="ListParagraph"/>
        <w:ind w:left="1224"/>
        <w:jc w:val="both"/>
        <w:rPr>
          <w:rFonts w:cstheme="minorHAnsi"/>
        </w:rPr>
      </w:pPr>
    </w:p>
    <w:p w14:paraId="69FFB9A0" w14:textId="6157F87B" w:rsidR="004E568B" w:rsidRPr="00A6176B" w:rsidRDefault="004E568B" w:rsidP="004E568B">
      <w:pPr>
        <w:pStyle w:val="ListParagraph"/>
        <w:numPr>
          <w:ilvl w:val="1"/>
          <w:numId w:val="1"/>
        </w:numPr>
        <w:jc w:val="both"/>
        <w:rPr>
          <w:rFonts w:cstheme="minorHAnsi"/>
        </w:rPr>
      </w:pPr>
      <w:r w:rsidRPr="00A6176B">
        <w:rPr>
          <w:rFonts w:cstheme="minorHAnsi"/>
        </w:rPr>
        <w:t xml:space="preserve">In any case where the company concedes that a payment should be made to a patient  but there exists the difference of opinion between company and patient as to </w:t>
      </w:r>
      <w:proofErr w:type="spellStart"/>
      <w:r w:rsidRPr="00A6176B">
        <w:rPr>
          <w:rFonts w:cstheme="minorHAnsi"/>
        </w:rPr>
        <w:t>th</w:t>
      </w:r>
      <w:proofErr w:type="spellEnd"/>
      <w:r w:rsidRPr="00A6176B">
        <w:rPr>
          <w:rFonts w:cstheme="minorHAnsi"/>
        </w:rPr>
        <w:t xml:space="preserve">  appropriate level of compensation, it is recommended that the company agrees to seek  at its own costs (and make available to the patient) the opinion of a mutually acceptable  independent expert, and that his or her opinion should be given substantial weight by the company in reaching its decision on the appropriate payment to be made.</w:t>
      </w:r>
    </w:p>
    <w:p w14:paraId="676AEC5D" w14:textId="77777777" w:rsidR="004E568B" w:rsidRPr="00A6176B" w:rsidRDefault="004E568B" w:rsidP="004E568B">
      <w:pPr>
        <w:pStyle w:val="ListParagraph"/>
        <w:ind w:left="792"/>
        <w:jc w:val="both"/>
        <w:rPr>
          <w:rFonts w:cstheme="minorHAnsi"/>
        </w:rPr>
      </w:pPr>
    </w:p>
    <w:p w14:paraId="12812F08" w14:textId="179E3C5C" w:rsidR="004E568B" w:rsidRPr="00A6176B" w:rsidRDefault="004E568B" w:rsidP="004E568B">
      <w:pPr>
        <w:pStyle w:val="ListParagraph"/>
        <w:numPr>
          <w:ilvl w:val="0"/>
          <w:numId w:val="1"/>
        </w:numPr>
        <w:jc w:val="both"/>
        <w:rPr>
          <w:rFonts w:cstheme="minorHAnsi"/>
          <w:b/>
          <w:bCs/>
        </w:rPr>
      </w:pPr>
      <w:r w:rsidRPr="00A6176B">
        <w:rPr>
          <w:rFonts w:cstheme="minorHAnsi"/>
          <w:b/>
          <w:bCs/>
        </w:rPr>
        <w:t xml:space="preserve">Miscellaneous </w:t>
      </w:r>
    </w:p>
    <w:p w14:paraId="2C7E5856" w14:textId="77777777" w:rsidR="004E568B" w:rsidRPr="00A6176B" w:rsidRDefault="004E568B" w:rsidP="004E568B">
      <w:pPr>
        <w:pStyle w:val="ListParagraph"/>
        <w:ind w:left="360"/>
        <w:jc w:val="both"/>
        <w:rPr>
          <w:rFonts w:cstheme="minorHAnsi"/>
          <w:b/>
          <w:bCs/>
        </w:rPr>
      </w:pPr>
    </w:p>
    <w:p w14:paraId="619199FE" w14:textId="05FB1C74" w:rsidR="004E568B" w:rsidRPr="00A6176B" w:rsidRDefault="004E568B" w:rsidP="004E568B">
      <w:pPr>
        <w:pStyle w:val="ListParagraph"/>
        <w:numPr>
          <w:ilvl w:val="1"/>
          <w:numId w:val="1"/>
        </w:numPr>
        <w:jc w:val="both"/>
        <w:rPr>
          <w:rFonts w:cstheme="minorHAnsi"/>
        </w:rPr>
      </w:pPr>
      <w:r w:rsidRPr="00A6176B">
        <w:rPr>
          <w:rFonts w:cstheme="minorHAnsi"/>
        </w:rPr>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 (taking into account the nature of the injury and the effect of time on the  severity/abatement of said injury and its effects).</w:t>
      </w:r>
    </w:p>
    <w:p w14:paraId="18D372DF" w14:textId="77777777" w:rsidR="004E568B" w:rsidRPr="00A6176B" w:rsidRDefault="004E568B" w:rsidP="004E568B">
      <w:pPr>
        <w:pStyle w:val="ListParagraph"/>
        <w:ind w:left="792"/>
        <w:jc w:val="both"/>
        <w:rPr>
          <w:rFonts w:cstheme="minorHAnsi"/>
        </w:rPr>
      </w:pPr>
    </w:p>
    <w:p w14:paraId="5504D1F6" w14:textId="0E06EDB2" w:rsidR="00FB07A1" w:rsidRPr="00A6176B" w:rsidRDefault="004E568B" w:rsidP="00A6176B">
      <w:pPr>
        <w:pStyle w:val="ListParagraph"/>
        <w:numPr>
          <w:ilvl w:val="1"/>
          <w:numId w:val="1"/>
        </w:numPr>
        <w:jc w:val="both"/>
        <w:rPr>
          <w:rFonts w:cstheme="minorHAnsi"/>
        </w:rPr>
      </w:pPr>
      <w:r w:rsidRPr="00A6176B">
        <w:rPr>
          <w:rFonts w:cstheme="minorHAnsi"/>
        </w:rPr>
        <w:t>The</w:t>
      </w:r>
      <w:r w:rsidR="00DD6CF3" w:rsidRPr="00A6176B">
        <w:rPr>
          <w:rFonts w:cstheme="minorHAnsi"/>
        </w:rPr>
        <w:t>se Guidelines</w:t>
      </w:r>
      <w:r w:rsidRPr="00A6176B">
        <w:rPr>
          <w:rFonts w:cstheme="minorHAnsi"/>
        </w:rPr>
        <w:t xml:space="preserve"> </w:t>
      </w:r>
      <w:r w:rsidR="00FB07A1" w:rsidRPr="00A6176B">
        <w:rPr>
          <w:rFonts w:cstheme="minorHAnsi"/>
        </w:rPr>
        <w:t>apply</w:t>
      </w:r>
      <w:r w:rsidRPr="00A6176B">
        <w:rPr>
          <w:rFonts w:cstheme="minorHAnsi"/>
        </w:rPr>
        <w:t xml:space="preserve"> to injury </w:t>
      </w:r>
      <w:r w:rsidR="009759AC" w:rsidRPr="00A6176B">
        <w:rPr>
          <w:rFonts w:cstheme="minorHAnsi"/>
        </w:rPr>
        <w:t xml:space="preserve">attributable to </w:t>
      </w:r>
      <w:r w:rsidRPr="00A6176B">
        <w:rPr>
          <w:rFonts w:cstheme="minorHAnsi"/>
        </w:rPr>
        <w:t>(at whatever time) all administrations</w:t>
      </w:r>
      <w:r w:rsidR="009759AC" w:rsidRPr="00A6176B">
        <w:rPr>
          <w:rFonts w:cstheme="minorHAnsi"/>
        </w:rPr>
        <w:t xml:space="preserve"> of a medicinal product under trial</w:t>
      </w:r>
      <w:r w:rsidRPr="00A6176B">
        <w:rPr>
          <w:rFonts w:cstheme="minorHAnsi"/>
        </w:rPr>
        <w:t xml:space="preserve">, clinical interventions or procedures </w:t>
      </w:r>
      <w:r w:rsidR="009759AC" w:rsidRPr="00A6176B">
        <w:rPr>
          <w:rFonts w:cstheme="minorHAnsi"/>
        </w:rPr>
        <w:t xml:space="preserve">provided for by the clinical trial protocol that would not have </w:t>
      </w:r>
      <w:r w:rsidR="00A407AF" w:rsidRPr="00A6176B">
        <w:rPr>
          <w:rFonts w:cstheme="minorHAnsi"/>
        </w:rPr>
        <w:t xml:space="preserve">been administered or </w:t>
      </w:r>
      <w:r w:rsidR="009759AC" w:rsidRPr="00A6176B">
        <w:rPr>
          <w:rFonts w:cstheme="minorHAnsi"/>
        </w:rPr>
        <w:t xml:space="preserve">occurred but for the inclusion of the patient in the trial </w:t>
      </w:r>
      <w:r w:rsidR="00FB07A1" w:rsidRPr="00A6176B">
        <w:rPr>
          <w:rFonts w:cstheme="minorHAnsi"/>
        </w:rPr>
        <w:t>where such injury occurs</w:t>
      </w:r>
      <w:r w:rsidRPr="00A6176B">
        <w:rPr>
          <w:rFonts w:cstheme="minorHAnsi"/>
        </w:rPr>
        <w:t xml:space="preserve"> during the course of the  trial </w:t>
      </w:r>
      <w:r w:rsidR="00FB07A1" w:rsidRPr="00A6176B">
        <w:rPr>
          <w:rFonts w:cstheme="minorHAnsi"/>
          <w:color w:val="000000" w:themeColor="text1"/>
        </w:rPr>
        <w:t xml:space="preserve">but they do not apply </w:t>
      </w:r>
      <w:r w:rsidR="00A6176B" w:rsidRPr="00A6176B">
        <w:rPr>
          <w:rFonts w:cstheme="minorHAnsi"/>
          <w:color w:val="000000" w:themeColor="text1"/>
        </w:rPr>
        <w:t xml:space="preserve">to </w:t>
      </w:r>
      <w:r w:rsidRPr="00A6176B">
        <w:rPr>
          <w:rFonts w:cstheme="minorHAnsi"/>
          <w:color w:val="000000" w:themeColor="text1"/>
        </w:rPr>
        <w:t>treatment extended beyond the end of the trial at the instigation of the  investigator</w:t>
      </w:r>
      <w:r w:rsidRPr="00A6176B">
        <w:rPr>
          <w:rFonts w:cstheme="minorHAnsi"/>
        </w:rPr>
        <w:t>. The use of unlicensed products beyond the trial period is wholly the  responsibility of the treating doctor, and it is the doctor’s responsibility to notify their own insurers or protection society of any use of unlicensed products outside of the trial.  In the event that injury arises under such circumstances the company will have no responsibility and no compensation will be provided by the company under these Guidelines, irrespective of whether there was a cumulative effect on the injury that commenced at the beginning of treatment.</w:t>
      </w:r>
    </w:p>
    <w:p w14:paraId="447386F7" w14:textId="77777777" w:rsidR="00A6176B" w:rsidRPr="00A6176B" w:rsidRDefault="00A6176B" w:rsidP="00A6176B">
      <w:pPr>
        <w:jc w:val="both"/>
        <w:rPr>
          <w:rFonts w:cstheme="minorHAnsi"/>
        </w:rPr>
      </w:pPr>
    </w:p>
    <w:p w14:paraId="54A3FC97" w14:textId="224148C0" w:rsidR="004E568B" w:rsidRPr="00A6176B" w:rsidRDefault="004E568B" w:rsidP="004E568B">
      <w:pPr>
        <w:pStyle w:val="ListParagraph"/>
        <w:numPr>
          <w:ilvl w:val="1"/>
          <w:numId w:val="1"/>
        </w:numPr>
        <w:jc w:val="both"/>
        <w:rPr>
          <w:rFonts w:cstheme="minorHAnsi"/>
        </w:rPr>
      </w:pPr>
      <w:r w:rsidRPr="00A6176B">
        <w:rPr>
          <w:rFonts w:cstheme="minorHAnsi"/>
        </w:rPr>
        <w:t xml:space="preserve">The fact that a company has agreed to abide by these Guidelines in respect of a trial does not affect the right of a patient to pursue a legal remedy in respect of injury alleged  to have been suffered as a result of participation. Nonetheless, patients will normally be  asked to accept that any payment made under the Guidelines will be in full and final  settlement of their claims. If a legal remedy is pursued and the case is </w:t>
      </w:r>
      <w:r w:rsidR="000A572E" w:rsidRPr="00A6176B">
        <w:rPr>
          <w:rFonts w:cstheme="minorHAnsi"/>
        </w:rPr>
        <w:t>resolved</w:t>
      </w:r>
      <w:r w:rsidRPr="00A6176B">
        <w:rPr>
          <w:rFonts w:cstheme="minorHAnsi"/>
        </w:rPr>
        <w:t>, the patient may not bring a further claim under these Guidelines based on the same underlying facts</w:t>
      </w:r>
      <w:r w:rsidR="000A572E" w:rsidRPr="00A6176B">
        <w:rPr>
          <w:rFonts w:cstheme="minorHAnsi"/>
        </w:rPr>
        <w:t xml:space="preserve"> or </w:t>
      </w:r>
      <w:r w:rsidRPr="00A6176B">
        <w:rPr>
          <w:rFonts w:cstheme="minorHAnsi"/>
        </w:rPr>
        <w:t xml:space="preserve">injury. </w:t>
      </w:r>
    </w:p>
    <w:p w14:paraId="4C3CD429" w14:textId="77777777" w:rsidR="004E568B" w:rsidRPr="00A6176B" w:rsidRDefault="004E568B" w:rsidP="004E568B">
      <w:pPr>
        <w:pStyle w:val="ListParagraph"/>
        <w:ind w:left="792"/>
        <w:jc w:val="both"/>
        <w:rPr>
          <w:rFonts w:cstheme="minorHAnsi"/>
        </w:rPr>
      </w:pPr>
    </w:p>
    <w:p w14:paraId="2A0447E5" w14:textId="31356270" w:rsidR="004E568B" w:rsidRPr="00A6176B" w:rsidRDefault="004E568B" w:rsidP="004E568B">
      <w:pPr>
        <w:pStyle w:val="ListParagraph"/>
        <w:numPr>
          <w:ilvl w:val="1"/>
          <w:numId w:val="1"/>
        </w:numPr>
        <w:jc w:val="both"/>
        <w:rPr>
          <w:rFonts w:cstheme="minorHAnsi"/>
        </w:rPr>
      </w:pPr>
      <w:r w:rsidRPr="00A6176B">
        <w:rPr>
          <w:rFonts w:cstheme="minorHAnsi"/>
        </w:rPr>
        <w:t>A company sponsoring a trial should encourage the investigator to make clear to  participating patients that the trial is being conducted subject to these Guidelines, and have available copies of the Guidelines should they be requested.</w:t>
      </w:r>
    </w:p>
    <w:p w14:paraId="7B19DB70" w14:textId="77777777" w:rsidR="004E568B" w:rsidRPr="00A6176B" w:rsidRDefault="004E568B" w:rsidP="004E568B">
      <w:pPr>
        <w:pStyle w:val="ListParagraph"/>
        <w:ind w:left="792"/>
        <w:jc w:val="both"/>
        <w:rPr>
          <w:rFonts w:cstheme="minorHAnsi"/>
        </w:rPr>
      </w:pPr>
    </w:p>
    <w:p w14:paraId="77CEC29C" w14:textId="50CB88F4" w:rsidR="00DF5B99" w:rsidRPr="00A6176B" w:rsidRDefault="004E568B" w:rsidP="00DD63F9">
      <w:pPr>
        <w:pStyle w:val="ListParagraph"/>
        <w:numPr>
          <w:ilvl w:val="1"/>
          <w:numId w:val="1"/>
        </w:numPr>
        <w:jc w:val="both"/>
        <w:rPr>
          <w:rFonts w:cstheme="minorHAnsi"/>
        </w:rPr>
      </w:pPr>
      <w:r w:rsidRPr="00A6176B">
        <w:rPr>
          <w:rFonts w:cstheme="minorHAnsi"/>
        </w:rPr>
        <w:t>Where studies are carried out in a hospital, the hospital continues to have a duty of care  to the patient being treated within that hospital, irrespective of whether the patient is participating in the study. Therefore</w:t>
      </w:r>
      <w:r w:rsidR="00CF449F">
        <w:rPr>
          <w:rFonts w:cstheme="minorHAnsi"/>
        </w:rPr>
        <w:t xml:space="preserve">, </w:t>
      </w:r>
      <w:r w:rsidRPr="00A6176B">
        <w:rPr>
          <w:rFonts w:cstheme="minorHAnsi"/>
        </w:rPr>
        <w:t xml:space="preserve">the company is not responsible and will not provide compensation for injury caused by negligence on the part of employees of, or staff engaged by, hospitals (whether public or private). </w:t>
      </w:r>
    </w:p>
    <w:sectPr w:rsidR="00DF5B99" w:rsidRPr="00A6176B" w:rsidSect="00F85A7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BB66" w14:textId="77777777" w:rsidR="00B37F9F" w:rsidRDefault="00B37F9F" w:rsidP="00DD5373">
      <w:pPr>
        <w:spacing w:after="0" w:line="240" w:lineRule="auto"/>
      </w:pPr>
      <w:r>
        <w:separator/>
      </w:r>
    </w:p>
  </w:endnote>
  <w:endnote w:type="continuationSeparator" w:id="0">
    <w:p w14:paraId="773332F7" w14:textId="77777777" w:rsidR="00B37F9F" w:rsidRDefault="00B37F9F" w:rsidP="00DD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723F" w14:textId="77777777" w:rsidR="00CF449F" w:rsidRDefault="00CF4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280421"/>
      <w:docPartObj>
        <w:docPartGallery w:val="Page Numbers (Bottom of Page)"/>
        <w:docPartUnique/>
      </w:docPartObj>
    </w:sdtPr>
    <w:sdtEndPr/>
    <w:sdtContent>
      <w:sdt>
        <w:sdtPr>
          <w:id w:val="1728636285"/>
          <w:docPartObj>
            <w:docPartGallery w:val="Page Numbers (Top of Page)"/>
            <w:docPartUnique/>
          </w:docPartObj>
        </w:sdtPr>
        <w:sdtEndPr/>
        <w:sdtContent>
          <w:p w14:paraId="62E6877E" w14:textId="7678807C" w:rsidR="00F85A7E" w:rsidRPr="00CF449F" w:rsidRDefault="00F85A7E" w:rsidP="00CF449F">
            <w:pPr>
              <w:pStyle w:val="Footer"/>
              <w:jc w:val="center"/>
              <w:rPr>
                <w:sz w:val="16"/>
                <w:szCs w:val="16"/>
              </w:rPr>
            </w:pPr>
            <w:r w:rsidRPr="00CF449F">
              <w:rPr>
                <w:sz w:val="16"/>
                <w:szCs w:val="16"/>
              </w:rPr>
              <w:t xml:space="preserve">Page </w:t>
            </w:r>
            <w:r w:rsidRPr="00CF449F">
              <w:rPr>
                <w:sz w:val="16"/>
                <w:szCs w:val="16"/>
              </w:rPr>
              <w:fldChar w:fldCharType="begin"/>
            </w:r>
            <w:r w:rsidRPr="00CF449F">
              <w:rPr>
                <w:sz w:val="16"/>
                <w:szCs w:val="16"/>
              </w:rPr>
              <w:instrText xml:space="preserve"> PAGE </w:instrText>
            </w:r>
            <w:r w:rsidRPr="00CF449F">
              <w:rPr>
                <w:sz w:val="16"/>
                <w:szCs w:val="16"/>
              </w:rPr>
              <w:fldChar w:fldCharType="separate"/>
            </w:r>
            <w:r w:rsidRPr="00CF449F">
              <w:rPr>
                <w:noProof/>
                <w:sz w:val="16"/>
                <w:szCs w:val="16"/>
              </w:rPr>
              <w:t>2</w:t>
            </w:r>
            <w:r w:rsidRPr="00CF449F">
              <w:rPr>
                <w:sz w:val="16"/>
                <w:szCs w:val="16"/>
              </w:rPr>
              <w:fldChar w:fldCharType="end"/>
            </w:r>
            <w:r w:rsidRPr="00CF449F">
              <w:rPr>
                <w:sz w:val="16"/>
                <w:szCs w:val="16"/>
              </w:rPr>
              <w:t xml:space="preserve"> of </w:t>
            </w:r>
            <w:r w:rsidRPr="00CF449F">
              <w:rPr>
                <w:sz w:val="16"/>
                <w:szCs w:val="16"/>
              </w:rPr>
              <w:fldChar w:fldCharType="begin"/>
            </w:r>
            <w:r w:rsidRPr="00CF449F">
              <w:rPr>
                <w:sz w:val="16"/>
                <w:szCs w:val="16"/>
              </w:rPr>
              <w:instrText xml:space="preserve"> NUMPAGES  </w:instrText>
            </w:r>
            <w:r w:rsidRPr="00CF449F">
              <w:rPr>
                <w:sz w:val="16"/>
                <w:szCs w:val="16"/>
              </w:rPr>
              <w:fldChar w:fldCharType="separate"/>
            </w:r>
            <w:r w:rsidRPr="00CF449F">
              <w:rPr>
                <w:noProof/>
                <w:sz w:val="16"/>
                <w:szCs w:val="16"/>
              </w:rPr>
              <w:t>2</w:t>
            </w:r>
            <w:r w:rsidRPr="00CF449F">
              <w:rPr>
                <w:sz w:val="16"/>
                <w:szCs w:val="16"/>
              </w:rPr>
              <w:fldChar w:fldCharType="end"/>
            </w:r>
            <w:r w:rsidR="00CF449F">
              <w:rPr>
                <w:sz w:val="16"/>
                <w:szCs w:val="16"/>
              </w:rPr>
              <w:t xml:space="preserve"> </w:t>
            </w:r>
            <w:r w:rsidR="00CF449F">
              <w:rPr>
                <w:sz w:val="16"/>
                <w:szCs w:val="16"/>
              </w:rPr>
              <w:tab/>
            </w:r>
            <w:r w:rsidR="00CF449F">
              <w:rPr>
                <w:sz w:val="16"/>
                <w:szCs w:val="16"/>
              </w:rPr>
              <w:tab/>
            </w:r>
            <w:r w:rsidR="00CF449F" w:rsidRPr="00CF449F">
              <w:rPr>
                <w:sz w:val="16"/>
                <w:szCs w:val="16"/>
              </w:rPr>
              <w:t>IPHA Clinical Trial Compensation Guidelines</w:t>
            </w:r>
            <w:r w:rsidR="00CF449F">
              <w:rPr>
                <w:sz w:val="16"/>
                <w:szCs w:val="16"/>
              </w:rPr>
              <w:t xml:space="preserve"> </w:t>
            </w:r>
            <w:r w:rsidR="00CF449F" w:rsidRPr="00CF449F">
              <w:rPr>
                <w:sz w:val="16"/>
                <w:szCs w:val="16"/>
              </w:rPr>
              <w:t>V2, 21</w:t>
            </w:r>
            <w:r w:rsidR="00CF449F">
              <w:rPr>
                <w:sz w:val="16"/>
                <w:szCs w:val="16"/>
              </w:rPr>
              <w:t>/02/</w:t>
            </w:r>
            <w:r w:rsidR="00CF449F" w:rsidRPr="00CF449F">
              <w:rPr>
                <w:sz w:val="16"/>
                <w:szCs w:val="16"/>
              </w:rPr>
              <w:t>23</w:t>
            </w:r>
          </w:p>
        </w:sdtContent>
      </w:sdt>
    </w:sdtContent>
  </w:sdt>
  <w:p w14:paraId="559525AC" w14:textId="77777777" w:rsidR="00F85A7E" w:rsidRDefault="00F85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90C7" w14:textId="77777777" w:rsidR="00CF449F" w:rsidRDefault="00CF4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979F" w14:textId="77777777" w:rsidR="00B37F9F" w:rsidRDefault="00B37F9F" w:rsidP="00DD5373">
      <w:pPr>
        <w:spacing w:after="0" w:line="240" w:lineRule="auto"/>
      </w:pPr>
      <w:r>
        <w:separator/>
      </w:r>
    </w:p>
  </w:footnote>
  <w:footnote w:type="continuationSeparator" w:id="0">
    <w:p w14:paraId="533DF361" w14:textId="77777777" w:rsidR="00B37F9F" w:rsidRDefault="00B37F9F" w:rsidP="00DD5373">
      <w:pPr>
        <w:spacing w:after="0" w:line="240" w:lineRule="auto"/>
      </w:pPr>
      <w:r>
        <w:continuationSeparator/>
      </w:r>
    </w:p>
  </w:footnote>
  <w:footnote w:id="1">
    <w:p w14:paraId="69D1740E" w14:textId="4667C31D" w:rsidR="00A71C11" w:rsidRPr="00A71C11" w:rsidRDefault="00A71C11">
      <w:pPr>
        <w:pStyle w:val="FootnoteText"/>
        <w:rPr>
          <w:rFonts w:cstheme="minorHAnsi"/>
          <w:sz w:val="16"/>
          <w:szCs w:val="16"/>
          <w:lang w:val="en-GB"/>
        </w:rPr>
      </w:pPr>
      <w:r w:rsidRPr="00A71C11">
        <w:rPr>
          <w:rStyle w:val="FootnoteReference"/>
          <w:rFonts w:cstheme="minorHAnsi"/>
          <w:sz w:val="16"/>
          <w:szCs w:val="16"/>
        </w:rPr>
        <w:footnoteRef/>
      </w:r>
      <w:r w:rsidRPr="00A71C11">
        <w:rPr>
          <w:rFonts w:cstheme="minorHAnsi"/>
          <w:sz w:val="16"/>
          <w:szCs w:val="16"/>
        </w:rPr>
        <w:t xml:space="preserve"> e.g. Personal Injury Guidelines published by the Judicial Council in 2021 to the extent that they may be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94D2" w14:textId="77777777" w:rsidR="00CF449F" w:rsidRDefault="00CF4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6A86" w14:textId="77777777" w:rsidR="00CF449F" w:rsidRDefault="00CF4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8103" w14:textId="77777777" w:rsidR="00CF449F" w:rsidRDefault="00CF4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D1163"/>
    <w:multiLevelType w:val="multilevel"/>
    <w:tmpl w:val="7C0425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0902C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8793221">
    <w:abstractNumId w:val="0"/>
  </w:num>
  <w:num w:numId="2" w16cid:durableId="62397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73"/>
    <w:rsid w:val="000171BD"/>
    <w:rsid w:val="000869ED"/>
    <w:rsid w:val="000A572E"/>
    <w:rsid w:val="003325A3"/>
    <w:rsid w:val="003A1C64"/>
    <w:rsid w:val="004B76E8"/>
    <w:rsid w:val="004E568B"/>
    <w:rsid w:val="00573909"/>
    <w:rsid w:val="0059185E"/>
    <w:rsid w:val="005E1184"/>
    <w:rsid w:val="0063521E"/>
    <w:rsid w:val="0067165B"/>
    <w:rsid w:val="00816E46"/>
    <w:rsid w:val="008A16E7"/>
    <w:rsid w:val="009759AC"/>
    <w:rsid w:val="00A1326C"/>
    <w:rsid w:val="00A407AF"/>
    <w:rsid w:val="00A6176B"/>
    <w:rsid w:val="00A71C11"/>
    <w:rsid w:val="00B37F9F"/>
    <w:rsid w:val="00BD5DA2"/>
    <w:rsid w:val="00C251AB"/>
    <w:rsid w:val="00CF449F"/>
    <w:rsid w:val="00DD5373"/>
    <w:rsid w:val="00DD63F9"/>
    <w:rsid w:val="00DD6CF3"/>
    <w:rsid w:val="00DF5B99"/>
    <w:rsid w:val="00F85A7E"/>
    <w:rsid w:val="00FB07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31F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373"/>
  </w:style>
  <w:style w:type="paragraph" w:styleId="Footer">
    <w:name w:val="footer"/>
    <w:basedOn w:val="Normal"/>
    <w:link w:val="FooterChar"/>
    <w:uiPriority w:val="99"/>
    <w:unhideWhenUsed/>
    <w:rsid w:val="00DD5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373"/>
  </w:style>
  <w:style w:type="paragraph" w:styleId="ListParagraph">
    <w:name w:val="List Paragraph"/>
    <w:basedOn w:val="Normal"/>
    <w:uiPriority w:val="34"/>
    <w:qFormat/>
    <w:rsid w:val="004E568B"/>
    <w:pPr>
      <w:ind w:left="720"/>
      <w:contextualSpacing/>
    </w:pPr>
  </w:style>
  <w:style w:type="paragraph" w:styleId="Revision">
    <w:name w:val="Revision"/>
    <w:hidden/>
    <w:uiPriority w:val="99"/>
    <w:semiHidden/>
    <w:rsid w:val="004E568B"/>
    <w:pPr>
      <w:spacing w:after="0" w:line="240" w:lineRule="auto"/>
    </w:pPr>
  </w:style>
  <w:style w:type="character" w:styleId="CommentReference">
    <w:name w:val="annotation reference"/>
    <w:basedOn w:val="DefaultParagraphFont"/>
    <w:uiPriority w:val="99"/>
    <w:semiHidden/>
    <w:unhideWhenUsed/>
    <w:rsid w:val="004E568B"/>
    <w:rPr>
      <w:sz w:val="16"/>
      <w:szCs w:val="16"/>
    </w:rPr>
  </w:style>
  <w:style w:type="paragraph" w:styleId="CommentText">
    <w:name w:val="annotation text"/>
    <w:basedOn w:val="Normal"/>
    <w:link w:val="CommentTextChar"/>
    <w:uiPriority w:val="99"/>
    <w:unhideWhenUsed/>
    <w:rsid w:val="004E568B"/>
    <w:pPr>
      <w:spacing w:line="240" w:lineRule="auto"/>
    </w:pPr>
    <w:rPr>
      <w:sz w:val="20"/>
      <w:szCs w:val="20"/>
    </w:rPr>
  </w:style>
  <w:style w:type="character" w:customStyle="1" w:styleId="CommentTextChar">
    <w:name w:val="Comment Text Char"/>
    <w:basedOn w:val="DefaultParagraphFont"/>
    <w:link w:val="CommentText"/>
    <w:uiPriority w:val="99"/>
    <w:rsid w:val="004E568B"/>
    <w:rPr>
      <w:sz w:val="20"/>
      <w:szCs w:val="20"/>
    </w:rPr>
  </w:style>
  <w:style w:type="paragraph" w:styleId="CommentSubject">
    <w:name w:val="annotation subject"/>
    <w:basedOn w:val="CommentText"/>
    <w:next w:val="CommentText"/>
    <w:link w:val="CommentSubjectChar"/>
    <w:uiPriority w:val="99"/>
    <w:semiHidden/>
    <w:unhideWhenUsed/>
    <w:rsid w:val="004E568B"/>
    <w:rPr>
      <w:b/>
      <w:bCs/>
    </w:rPr>
  </w:style>
  <w:style w:type="character" w:customStyle="1" w:styleId="CommentSubjectChar">
    <w:name w:val="Comment Subject Char"/>
    <w:basedOn w:val="CommentTextChar"/>
    <w:link w:val="CommentSubject"/>
    <w:uiPriority w:val="99"/>
    <w:semiHidden/>
    <w:rsid w:val="004E568B"/>
    <w:rPr>
      <w:b/>
      <w:bCs/>
      <w:sz w:val="20"/>
      <w:szCs w:val="20"/>
    </w:rPr>
  </w:style>
  <w:style w:type="paragraph" w:styleId="FootnoteText">
    <w:name w:val="footnote text"/>
    <w:basedOn w:val="Normal"/>
    <w:link w:val="FootnoteTextChar"/>
    <w:uiPriority w:val="99"/>
    <w:semiHidden/>
    <w:unhideWhenUsed/>
    <w:rsid w:val="00A71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C11"/>
    <w:rPr>
      <w:sz w:val="20"/>
      <w:szCs w:val="20"/>
    </w:rPr>
  </w:style>
  <w:style w:type="character" w:styleId="FootnoteReference">
    <w:name w:val="footnote reference"/>
    <w:basedOn w:val="DefaultParagraphFont"/>
    <w:uiPriority w:val="99"/>
    <w:semiHidden/>
    <w:unhideWhenUsed/>
    <w:rsid w:val="00A71C11"/>
    <w:rPr>
      <w:vertAlign w:val="superscript"/>
    </w:rPr>
  </w:style>
  <w:style w:type="table" w:styleId="TableGrid">
    <w:name w:val="Table Grid"/>
    <w:basedOn w:val="TableNormal"/>
    <w:uiPriority w:val="39"/>
    <w:rsid w:val="00F8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2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93D6C.106E59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17750-C90B-4D61-B081-F7A09365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8997</Characters>
  <Application>Microsoft Office Word</Application>
  <DocSecurity>4</DocSecurity>
  <PresentationFormat/>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2023-02-21T12:33:00Z</dcterms:created>
  <dcterms:modified xsi:type="dcterms:W3CDTF">2023-02-21T12:33:00Z</dcterms:modified>
  <cp:category/>
  <cp:contentStatus/>
  <dc:language/>
  <cp:version/>
</cp:coreProperties>
</file>