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65D07" w14:textId="76166559" w:rsidR="00AB45FD" w:rsidRDefault="00AB45FD">
      <w:pPr>
        <w:pStyle w:val="BodyText"/>
        <w:ind w:left="220"/>
        <w:rPr>
          <w:rFonts w:ascii="Times New Roman"/>
          <w:sz w:val="20"/>
        </w:rPr>
      </w:pPr>
    </w:p>
    <w:tbl>
      <w:tblPr>
        <w:tblStyle w:val="TableGrid"/>
        <w:tblpPr w:leftFromText="180" w:rightFromText="180" w:vertAnchor="text" w:horzAnchor="margin" w:tblpY="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8"/>
        <w:gridCol w:w="5609"/>
      </w:tblGrid>
      <w:tr w:rsidR="00D36A9A" w14:paraId="1F1D1628" w14:textId="77777777" w:rsidTr="00D36A9A">
        <w:tc>
          <w:tcPr>
            <w:tcW w:w="4218" w:type="dxa"/>
          </w:tcPr>
          <w:p w14:paraId="412273C4" w14:textId="77777777" w:rsidR="00D36A9A" w:rsidRDefault="00D36A9A" w:rsidP="00D36A9A">
            <w:pPr>
              <w:pStyle w:val="BodyText"/>
              <w:tabs>
                <w:tab w:val="left" w:pos="1425"/>
              </w:tabs>
              <w:spacing w:before="6"/>
              <w:jc w:val="center"/>
              <w:rPr>
                <w:rFonts w:ascii="Times New Roman"/>
                <w:sz w:val="16"/>
              </w:rPr>
            </w:pPr>
            <w:r>
              <w:rPr>
                <w:rFonts w:ascii="Times New Roman"/>
                <w:noProof/>
                <w:sz w:val="20"/>
              </w:rPr>
              <w:drawing>
                <wp:inline distT="0" distB="0" distL="0" distR="0" wp14:anchorId="39E7AE36" wp14:editId="08131182">
                  <wp:extent cx="2541600" cy="705600"/>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41600" cy="705600"/>
                          </a:xfrm>
                          <a:prstGeom prst="rect">
                            <a:avLst/>
                          </a:prstGeom>
                        </pic:spPr>
                      </pic:pic>
                    </a:graphicData>
                  </a:graphic>
                </wp:inline>
              </w:drawing>
            </w:r>
          </w:p>
        </w:tc>
        <w:tc>
          <w:tcPr>
            <w:tcW w:w="5609" w:type="dxa"/>
          </w:tcPr>
          <w:p w14:paraId="61C007F2" w14:textId="77777777" w:rsidR="00D36A9A" w:rsidRPr="00D36A9A" w:rsidRDefault="00D36A9A" w:rsidP="00D36A9A">
            <w:pPr>
              <w:spacing w:before="60"/>
              <w:ind w:left="692" w:right="391"/>
              <w:jc w:val="center"/>
              <w:rPr>
                <w:b/>
                <w:color w:val="0052A3"/>
                <w:sz w:val="36"/>
                <w:szCs w:val="36"/>
              </w:rPr>
            </w:pPr>
            <w:r w:rsidRPr="00D36A9A">
              <w:rPr>
                <w:b/>
                <w:color w:val="0052A3"/>
                <w:sz w:val="36"/>
                <w:szCs w:val="36"/>
              </w:rPr>
              <w:t>Best Practice for ToV Disclosure</w:t>
            </w:r>
          </w:p>
          <w:p w14:paraId="06D7C7EA" w14:textId="4D766EC7" w:rsidR="00D36A9A" w:rsidRPr="00D36A9A" w:rsidRDefault="00070276" w:rsidP="00D36A9A">
            <w:pPr>
              <w:spacing w:before="60"/>
              <w:ind w:left="2353" w:right="391" w:hanging="1661"/>
              <w:jc w:val="center"/>
              <w:rPr>
                <w:b/>
                <w:color w:val="0052A3"/>
                <w:sz w:val="28"/>
                <w:szCs w:val="28"/>
              </w:rPr>
            </w:pPr>
            <w:r>
              <w:rPr>
                <w:b/>
                <w:color w:val="0052A3"/>
                <w:sz w:val="28"/>
                <w:szCs w:val="28"/>
              </w:rPr>
              <w:t>29</w:t>
            </w:r>
            <w:r w:rsidR="00D36A9A" w:rsidRPr="000808CE">
              <w:rPr>
                <w:b/>
                <w:color w:val="0052A3"/>
                <w:sz w:val="28"/>
                <w:szCs w:val="28"/>
                <w:vertAlign w:val="superscript"/>
              </w:rPr>
              <w:t>th</w:t>
            </w:r>
            <w:r w:rsidR="00D36A9A">
              <w:rPr>
                <w:b/>
                <w:color w:val="0052A3"/>
                <w:sz w:val="28"/>
                <w:szCs w:val="28"/>
              </w:rPr>
              <w:t xml:space="preserve"> </w:t>
            </w:r>
            <w:r>
              <w:rPr>
                <w:b/>
                <w:color w:val="0052A3"/>
                <w:sz w:val="28"/>
                <w:szCs w:val="28"/>
              </w:rPr>
              <w:t>Jul</w:t>
            </w:r>
            <w:r w:rsidR="00D36A9A">
              <w:rPr>
                <w:b/>
                <w:color w:val="0052A3"/>
                <w:sz w:val="28"/>
                <w:szCs w:val="28"/>
              </w:rPr>
              <w:t xml:space="preserve"> </w:t>
            </w:r>
            <w:r w:rsidR="00D36A9A" w:rsidRPr="001358A5">
              <w:rPr>
                <w:b/>
                <w:color w:val="0052A3"/>
                <w:sz w:val="28"/>
                <w:szCs w:val="28"/>
              </w:rPr>
              <w:t>202</w:t>
            </w:r>
            <w:r>
              <w:rPr>
                <w:b/>
                <w:color w:val="0052A3"/>
                <w:sz w:val="28"/>
                <w:szCs w:val="28"/>
              </w:rPr>
              <w:t>1</w:t>
            </w:r>
          </w:p>
        </w:tc>
      </w:tr>
    </w:tbl>
    <w:p w14:paraId="62CA057D" w14:textId="77777777" w:rsidR="00D36A9A" w:rsidRDefault="00D36A9A">
      <w:pPr>
        <w:pStyle w:val="BodyText"/>
        <w:spacing w:before="6"/>
        <w:rPr>
          <w:rFonts w:ascii="Times New Roman"/>
          <w:sz w:val="16"/>
        </w:rPr>
      </w:pPr>
    </w:p>
    <w:p w14:paraId="6FFBB84C" w14:textId="118CD4BD" w:rsidR="00AB45FD" w:rsidRDefault="00AB2AD7">
      <w:pPr>
        <w:pStyle w:val="BodyText"/>
        <w:spacing w:before="6"/>
        <w:rPr>
          <w:rFonts w:ascii="Times New Roman"/>
          <w:sz w:val="16"/>
        </w:rPr>
      </w:pPr>
      <w:r>
        <w:rPr>
          <w:noProof/>
        </w:rPr>
        <mc:AlternateContent>
          <mc:Choice Requires="wps">
            <w:drawing>
              <wp:anchor distT="0" distB="0" distL="0" distR="0" simplePos="0" relativeHeight="251659264" behindDoc="1" locked="0" layoutInCell="1" allowOverlap="1" wp14:anchorId="5F5B0135" wp14:editId="0759EE35">
                <wp:simplePos x="0" y="0"/>
                <wp:positionH relativeFrom="page">
                  <wp:posOffset>844550</wp:posOffset>
                </wp:positionH>
                <wp:positionV relativeFrom="paragraph">
                  <wp:posOffset>157480</wp:posOffset>
                </wp:positionV>
                <wp:extent cx="6057900" cy="203200"/>
                <wp:effectExtent l="0" t="0" r="19050" b="2540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203200"/>
                        </a:xfrm>
                        <a:prstGeom prst="rect">
                          <a:avLst/>
                        </a:prstGeom>
                        <a:solidFill>
                          <a:srgbClr val="E4E4E4"/>
                        </a:solidFill>
                        <a:ln w="6096">
                          <a:solidFill>
                            <a:srgbClr val="000000"/>
                          </a:solidFill>
                          <a:miter lim="800000"/>
                          <a:headEnd/>
                          <a:tailEnd/>
                        </a:ln>
                      </wps:spPr>
                      <wps:txbx>
                        <w:txbxContent>
                          <w:p w14:paraId="344E95AF" w14:textId="77777777" w:rsidR="00AB45FD" w:rsidRDefault="008239E5">
                            <w:pPr>
                              <w:spacing w:before="18"/>
                              <w:ind w:left="108"/>
                              <w:rPr>
                                <w:b/>
                              </w:rPr>
                            </w:pPr>
                            <w:r>
                              <w:rPr>
                                <w:b/>
                              </w:rPr>
                              <w:t>SCOPE AND PURPOSE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B0135" id="_x0000_t202" coordsize="21600,21600" o:spt="202" path="m,l,21600r21600,l21600,xe">
                <v:stroke joinstyle="miter"/>
                <v:path gradientshapeok="t" o:connecttype="rect"/>
              </v:shapetype>
              <v:shape id="Text Box 9" o:spid="_x0000_s1026" type="#_x0000_t202" style="position:absolute;margin-left:66.5pt;margin-top:12.4pt;width:477pt;height:1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" fillcolor="#e4e4e4" strokeweight=".48pt">
                <v:textbox inset="0,0,0,0">
                  <w:txbxContent>
                    <w:p w14:paraId="344E95AF" w14:textId="77777777" w:rsidR="00AB45FD" w:rsidRDefault="008239E5">
                      <w:pPr>
                        <w:spacing w:before="18"/>
                        <w:ind w:left="108"/>
                        <w:rPr>
                          <w:b/>
                        </w:rPr>
                      </w:pPr>
                      <w:r>
                        <w:rPr>
                          <w:b/>
                        </w:rPr>
                        <w:t>SCOPE AND PURPOSE</w:t>
                      </w:r>
                    </w:p>
                  </w:txbxContent>
                </v:textbox>
                <w10:wrap type="topAndBottom" anchorx="page"/>
              </v:shape>
            </w:pict>
          </mc:Fallback>
        </mc:AlternateContent>
      </w:r>
    </w:p>
    <w:p w14:paraId="26DA24E3" w14:textId="4D12242B" w:rsidR="00AB45FD" w:rsidRDefault="00AB45FD">
      <w:pPr>
        <w:pStyle w:val="BodyText"/>
        <w:spacing w:before="5"/>
        <w:rPr>
          <w:rFonts w:ascii="Times New Roman"/>
          <w:sz w:val="15"/>
        </w:rPr>
      </w:pPr>
    </w:p>
    <w:p w14:paraId="19C5D3E3" w14:textId="29B69836" w:rsidR="00AB45FD" w:rsidRDefault="008239E5">
      <w:pPr>
        <w:pStyle w:val="BodyText"/>
        <w:spacing w:before="56"/>
        <w:ind w:left="220" w:right="228"/>
        <w:jc w:val="both"/>
      </w:pPr>
      <w:r>
        <w:t xml:space="preserve">The purpose of this document is to provide practical guidance on how to achieve effective and full </w:t>
      </w:r>
      <w:r w:rsidR="000E1080">
        <w:t xml:space="preserve">ToV </w:t>
      </w:r>
      <w:r>
        <w:t>disclosure. However, the document is not comprehensive and does not alter any obligations set out in the IPHA Code of Practice for the Pharmaceutical Industry or the relevant legislation.</w:t>
      </w:r>
    </w:p>
    <w:p w14:paraId="555E6083" w14:textId="43026FBF" w:rsidR="00AB45FD" w:rsidRDefault="00E82BB2">
      <w:pPr>
        <w:pStyle w:val="BodyText"/>
        <w:spacing w:before="2"/>
        <w:rPr>
          <w:sz w:val="19"/>
        </w:rPr>
      </w:pPr>
      <w:r>
        <w:rPr>
          <w:noProof/>
        </w:rPr>
        <mc:AlternateContent>
          <mc:Choice Requires="wpg">
            <w:drawing>
              <wp:anchor distT="0" distB="0" distL="0" distR="0" simplePos="0" relativeHeight="251661312" behindDoc="1" locked="0" layoutInCell="1" allowOverlap="1" wp14:anchorId="556F6CB3" wp14:editId="364C28FD">
                <wp:simplePos x="0" y="0"/>
                <wp:positionH relativeFrom="page">
                  <wp:posOffset>838200</wp:posOffset>
                </wp:positionH>
                <wp:positionV relativeFrom="paragraph">
                  <wp:posOffset>165735</wp:posOffset>
                </wp:positionV>
                <wp:extent cx="6065520" cy="203200"/>
                <wp:effectExtent l="0" t="0" r="11430" b="25400"/>
                <wp:wrapTopAndBottom/>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5520" cy="203200"/>
                          <a:chOff x="1332" y="272"/>
                          <a:chExt cx="9552" cy="320"/>
                        </a:xfrm>
                      </wpg:grpSpPr>
                      <wps:wsp>
                        <wps:cNvPr id="5" name="Rectangle 7"/>
                        <wps:cNvSpPr>
                          <a:spLocks noChangeArrowheads="1"/>
                        </wps:cNvSpPr>
                        <wps:spPr bwMode="auto">
                          <a:xfrm>
                            <a:off x="1332" y="282"/>
                            <a:ext cx="9552" cy="310"/>
                          </a:xfrm>
                          <a:prstGeom prst="rect">
                            <a:avLst/>
                          </a:prstGeom>
                          <a:solidFill>
                            <a:srgbClr val="E4E4E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Text Box 6"/>
                        <wps:cNvSpPr txBox="1">
                          <a:spLocks noChangeArrowheads="1"/>
                        </wps:cNvSpPr>
                        <wps:spPr bwMode="auto">
                          <a:xfrm>
                            <a:off x="1332" y="272"/>
                            <a:ext cx="9552" cy="3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C251A92" w14:textId="77777777" w:rsidR="00AB45FD" w:rsidRDefault="008239E5" w:rsidP="00554F67">
                              <w:pPr>
                                <w:spacing w:before="18"/>
                                <w:rPr>
                                  <w:b/>
                                </w:rPr>
                              </w:pPr>
                              <w:r>
                                <w:rPr>
                                  <w:b/>
                                </w:rPr>
                                <w:t>INDIVIDUAL LEVEL DISCLOSURE FOR HCPs &amp; HCOs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6F6CB3" id="Group 5" o:spid="_x0000_s1027" style="position:absolute;margin-left:66pt;margin-top:13.05pt;width:477.6pt;height:16pt;z-index:-251655168;mso-wrap-distance-left:0;mso-wrap-distance-right:0;mso-position-horizontal-relative:page" coordorigin="1332,272" coordsize="9552,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">
                <v:rect id="Rectangle 7" o:spid="_x0000_s1028" style="position:absolute;left:1332;top:282;width:9552;height:3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" fillcolor="#e4e4e4" stroked="f"/>
                <v:shape id="Text Box 6" o:spid="_x0000_s1029" type="#_x0000_t202" style="position:absolute;left:1332;top:272;width:955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" filled="f" strokeweight=".48pt">
                  <v:textbox inset="0,0,0,0">
                    <w:txbxContent>
                      <w:p w14:paraId="5C251A92" w14:textId="77777777" w:rsidR="00AB45FD" w:rsidRDefault="008239E5" w:rsidP="00554F67">
                        <w:pPr>
                          <w:spacing w:before="18"/>
                          <w:rPr>
                            <w:b/>
                          </w:rPr>
                        </w:pPr>
                        <w:r>
                          <w:rPr>
                            <w:b/>
                          </w:rPr>
                          <w:t>INDIVIDUAL LEVEL DISCLOSURE FOR HCPs &amp; HCOs</w:t>
                        </w:r>
                      </w:p>
                    </w:txbxContent>
                  </v:textbox>
                </v:shape>
                <w10:wrap type="topAndBottom" anchorx="page"/>
              </v:group>
            </w:pict>
          </mc:Fallback>
        </mc:AlternateContent>
      </w:r>
    </w:p>
    <w:p w14:paraId="20A97282" w14:textId="77777777" w:rsidR="00AB45FD" w:rsidRDefault="00AB45FD">
      <w:pPr>
        <w:pStyle w:val="BodyText"/>
        <w:spacing w:before="10"/>
        <w:rPr>
          <w:sz w:val="14"/>
        </w:rPr>
      </w:pPr>
    </w:p>
    <w:p w14:paraId="668AE05E" w14:textId="0501E6D7" w:rsidR="00E679D0" w:rsidRDefault="008239E5" w:rsidP="00554F67">
      <w:pPr>
        <w:pStyle w:val="BodyText"/>
        <w:spacing w:before="56"/>
        <w:ind w:left="220" w:right="226"/>
        <w:jc w:val="both"/>
        <w:rPr>
          <w:rFonts w:asciiTheme="minorHAnsi" w:hAnsiTheme="minorHAnsi"/>
          <w:color w:val="000000" w:themeColor="text1"/>
          <w:spacing w:val="-4"/>
        </w:rPr>
      </w:pPr>
      <w:r w:rsidRPr="009D49E3">
        <w:rPr>
          <w:rFonts w:asciiTheme="minorHAnsi" w:hAnsiTheme="minorHAnsi"/>
          <w:color w:val="000000" w:themeColor="text1"/>
        </w:rPr>
        <w:t>For</w:t>
      </w:r>
      <w:r w:rsidRPr="009D49E3">
        <w:rPr>
          <w:rFonts w:asciiTheme="minorHAnsi" w:hAnsiTheme="minorHAnsi"/>
          <w:color w:val="000000" w:themeColor="text1"/>
          <w:spacing w:val="-8"/>
        </w:rPr>
        <w:t xml:space="preserve"> </w:t>
      </w:r>
      <w:r w:rsidRPr="009D49E3">
        <w:rPr>
          <w:rFonts w:asciiTheme="minorHAnsi" w:hAnsiTheme="minorHAnsi"/>
          <w:color w:val="000000" w:themeColor="text1"/>
        </w:rPr>
        <w:t>HCP</w:t>
      </w:r>
      <w:r w:rsidRPr="009D49E3">
        <w:rPr>
          <w:rFonts w:asciiTheme="minorHAnsi" w:hAnsiTheme="minorHAnsi"/>
          <w:color w:val="000000" w:themeColor="text1"/>
          <w:spacing w:val="-10"/>
        </w:rPr>
        <w:t xml:space="preserve"> </w:t>
      </w:r>
      <w:proofErr w:type="spellStart"/>
      <w:r w:rsidRPr="009D49E3">
        <w:rPr>
          <w:rFonts w:asciiTheme="minorHAnsi" w:hAnsiTheme="minorHAnsi"/>
          <w:color w:val="000000" w:themeColor="text1"/>
        </w:rPr>
        <w:t>ToVs</w:t>
      </w:r>
      <w:proofErr w:type="spellEnd"/>
      <w:r w:rsidRPr="009D49E3">
        <w:rPr>
          <w:rFonts w:asciiTheme="minorHAnsi" w:hAnsiTheme="minorHAnsi"/>
          <w:color w:val="000000" w:themeColor="text1"/>
          <w:spacing w:val="-11"/>
        </w:rPr>
        <w:t xml:space="preserve"> </w:t>
      </w:r>
      <w:r w:rsidRPr="009D49E3">
        <w:rPr>
          <w:rFonts w:asciiTheme="minorHAnsi" w:hAnsiTheme="minorHAnsi"/>
          <w:color w:val="000000" w:themeColor="text1"/>
        </w:rPr>
        <w:t>the</w:t>
      </w:r>
      <w:r w:rsidRPr="009D49E3">
        <w:rPr>
          <w:rFonts w:asciiTheme="minorHAnsi" w:hAnsiTheme="minorHAnsi"/>
          <w:color w:val="000000" w:themeColor="text1"/>
          <w:spacing w:val="-7"/>
        </w:rPr>
        <w:t xml:space="preserve"> </w:t>
      </w:r>
      <w:r w:rsidRPr="009D49E3">
        <w:rPr>
          <w:rFonts w:asciiTheme="minorHAnsi" w:hAnsiTheme="minorHAnsi"/>
          <w:i/>
          <w:color w:val="000000" w:themeColor="text1"/>
        </w:rPr>
        <w:t>aim</w:t>
      </w:r>
      <w:r w:rsidRPr="009D49E3">
        <w:rPr>
          <w:rFonts w:asciiTheme="minorHAnsi" w:hAnsiTheme="minorHAnsi"/>
          <w:i/>
          <w:color w:val="000000" w:themeColor="text1"/>
          <w:spacing w:val="-8"/>
        </w:rPr>
        <w:t xml:space="preserve"> </w:t>
      </w:r>
      <w:r w:rsidRPr="009D49E3">
        <w:rPr>
          <w:rFonts w:asciiTheme="minorHAnsi" w:hAnsiTheme="minorHAnsi"/>
          <w:color w:val="000000" w:themeColor="text1"/>
        </w:rPr>
        <w:t>is</w:t>
      </w:r>
      <w:r w:rsidRPr="009D49E3">
        <w:rPr>
          <w:rFonts w:asciiTheme="minorHAnsi" w:hAnsiTheme="minorHAnsi"/>
          <w:color w:val="000000" w:themeColor="text1"/>
          <w:spacing w:val="-7"/>
        </w:rPr>
        <w:t xml:space="preserve"> </w:t>
      </w:r>
      <w:r w:rsidRPr="009D49E3">
        <w:rPr>
          <w:rFonts w:asciiTheme="minorHAnsi" w:hAnsiTheme="minorHAnsi"/>
          <w:color w:val="000000" w:themeColor="text1"/>
        </w:rPr>
        <w:t>for</w:t>
      </w:r>
      <w:r w:rsidRPr="009D49E3">
        <w:rPr>
          <w:rFonts w:asciiTheme="minorHAnsi" w:hAnsiTheme="minorHAnsi"/>
          <w:color w:val="000000" w:themeColor="text1"/>
          <w:spacing w:val="-10"/>
        </w:rPr>
        <w:t xml:space="preserve"> </w:t>
      </w:r>
      <w:r w:rsidRPr="009D49E3">
        <w:rPr>
          <w:rFonts w:asciiTheme="minorHAnsi" w:hAnsiTheme="minorHAnsi"/>
          <w:color w:val="000000" w:themeColor="text1"/>
        </w:rPr>
        <w:t>100%</w:t>
      </w:r>
      <w:r w:rsidRPr="009D49E3">
        <w:rPr>
          <w:rFonts w:asciiTheme="minorHAnsi" w:hAnsiTheme="minorHAnsi"/>
          <w:color w:val="000000" w:themeColor="text1"/>
          <w:spacing w:val="-7"/>
        </w:rPr>
        <w:t xml:space="preserve"> </w:t>
      </w:r>
      <w:r w:rsidRPr="009D49E3">
        <w:rPr>
          <w:rFonts w:asciiTheme="minorHAnsi" w:hAnsiTheme="minorHAnsi"/>
          <w:color w:val="000000" w:themeColor="text1"/>
        </w:rPr>
        <w:t>individual</w:t>
      </w:r>
      <w:r w:rsidRPr="009D49E3">
        <w:rPr>
          <w:rFonts w:asciiTheme="minorHAnsi" w:hAnsiTheme="minorHAnsi"/>
          <w:color w:val="000000" w:themeColor="text1"/>
          <w:spacing w:val="-9"/>
        </w:rPr>
        <w:t xml:space="preserve"> </w:t>
      </w:r>
      <w:r w:rsidRPr="009D49E3">
        <w:rPr>
          <w:rFonts w:asciiTheme="minorHAnsi" w:hAnsiTheme="minorHAnsi"/>
          <w:color w:val="000000" w:themeColor="text1"/>
        </w:rPr>
        <w:t>level</w:t>
      </w:r>
      <w:r w:rsidRPr="009D49E3">
        <w:rPr>
          <w:rFonts w:asciiTheme="minorHAnsi" w:hAnsiTheme="minorHAnsi"/>
          <w:color w:val="000000" w:themeColor="text1"/>
          <w:spacing w:val="-8"/>
        </w:rPr>
        <w:t xml:space="preserve"> </w:t>
      </w:r>
      <w:r w:rsidRPr="009D49E3">
        <w:rPr>
          <w:rFonts w:asciiTheme="minorHAnsi" w:hAnsiTheme="minorHAnsi"/>
          <w:color w:val="000000" w:themeColor="text1"/>
        </w:rPr>
        <w:t>disclosure.</w:t>
      </w:r>
      <w:r w:rsidRPr="009D49E3">
        <w:rPr>
          <w:rFonts w:asciiTheme="minorHAnsi" w:hAnsiTheme="minorHAnsi"/>
          <w:color w:val="000000" w:themeColor="text1"/>
          <w:spacing w:val="-7"/>
        </w:rPr>
        <w:t xml:space="preserve"> </w:t>
      </w:r>
      <w:r w:rsidRPr="009D49E3">
        <w:rPr>
          <w:rFonts w:asciiTheme="minorHAnsi" w:hAnsiTheme="minorHAnsi"/>
          <w:color w:val="000000" w:themeColor="text1"/>
        </w:rPr>
        <w:t>However,</w:t>
      </w:r>
      <w:r w:rsidRPr="009D49E3">
        <w:rPr>
          <w:rFonts w:asciiTheme="minorHAnsi" w:hAnsiTheme="minorHAnsi"/>
          <w:color w:val="000000" w:themeColor="text1"/>
          <w:spacing w:val="-8"/>
        </w:rPr>
        <w:t xml:space="preserve"> </w:t>
      </w:r>
      <w:r w:rsidRPr="009D49E3">
        <w:rPr>
          <w:rFonts w:asciiTheme="minorHAnsi" w:hAnsiTheme="minorHAnsi"/>
          <w:color w:val="000000" w:themeColor="text1"/>
        </w:rPr>
        <w:t>for</w:t>
      </w:r>
      <w:r w:rsidRPr="009D49E3">
        <w:rPr>
          <w:rFonts w:asciiTheme="minorHAnsi" w:hAnsiTheme="minorHAnsi"/>
          <w:color w:val="000000" w:themeColor="text1"/>
          <w:spacing w:val="-8"/>
        </w:rPr>
        <w:t xml:space="preserve"> </w:t>
      </w:r>
      <w:r w:rsidRPr="009D49E3">
        <w:rPr>
          <w:rFonts w:asciiTheme="minorHAnsi" w:hAnsiTheme="minorHAnsi"/>
          <w:color w:val="000000" w:themeColor="text1"/>
        </w:rPr>
        <w:t>HCO</w:t>
      </w:r>
      <w:r w:rsidRPr="009D49E3">
        <w:rPr>
          <w:rFonts w:asciiTheme="minorHAnsi" w:hAnsiTheme="minorHAnsi"/>
          <w:color w:val="000000" w:themeColor="text1"/>
          <w:spacing w:val="-8"/>
        </w:rPr>
        <w:t xml:space="preserve"> </w:t>
      </w:r>
      <w:proofErr w:type="spellStart"/>
      <w:r w:rsidRPr="009D49E3">
        <w:rPr>
          <w:rFonts w:asciiTheme="minorHAnsi" w:hAnsiTheme="minorHAnsi"/>
          <w:color w:val="000000" w:themeColor="text1"/>
        </w:rPr>
        <w:t>ToVs</w:t>
      </w:r>
      <w:proofErr w:type="spellEnd"/>
      <w:r w:rsidRPr="009D49E3">
        <w:rPr>
          <w:rFonts w:asciiTheme="minorHAnsi" w:hAnsiTheme="minorHAnsi"/>
          <w:color w:val="000000" w:themeColor="text1"/>
          <w:spacing w:val="-9"/>
        </w:rPr>
        <w:t xml:space="preserve"> </w:t>
      </w:r>
      <w:r w:rsidRPr="009D49E3">
        <w:rPr>
          <w:rFonts w:asciiTheme="minorHAnsi" w:hAnsiTheme="minorHAnsi"/>
          <w:color w:val="000000" w:themeColor="text1"/>
        </w:rPr>
        <w:t>100%</w:t>
      </w:r>
      <w:r w:rsidRPr="009D49E3">
        <w:rPr>
          <w:rFonts w:asciiTheme="minorHAnsi" w:hAnsiTheme="minorHAnsi"/>
          <w:color w:val="000000" w:themeColor="text1"/>
          <w:spacing w:val="-7"/>
        </w:rPr>
        <w:t xml:space="preserve"> </w:t>
      </w:r>
      <w:r w:rsidRPr="009D49E3">
        <w:rPr>
          <w:rFonts w:asciiTheme="minorHAnsi" w:hAnsiTheme="minorHAnsi"/>
          <w:color w:val="000000" w:themeColor="text1"/>
        </w:rPr>
        <w:t>individual</w:t>
      </w:r>
      <w:r w:rsidRPr="009D49E3">
        <w:rPr>
          <w:rFonts w:asciiTheme="minorHAnsi" w:hAnsiTheme="minorHAnsi"/>
          <w:color w:val="000000" w:themeColor="text1"/>
          <w:spacing w:val="-8"/>
        </w:rPr>
        <w:t xml:space="preserve"> </w:t>
      </w:r>
      <w:r w:rsidRPr="009D49E3">
        <w:rPr>
          <w:rFonts w:asciiTheme="minorHAnsi" w:hAnsiTheme="minorHAnsi"/>
          <w:color w:val="000000" w:themeColor="text1"/>
        </w:rPr>
        <w:t xml:space="preserve">level disclosure </w:t>
      </w:r>
      <w:r w:rsidRPr="009D49E3">
        <w:rPr>
          <w:rFonts w:asciiTheme="minorHAnsi" w:hAnsiTheme="minorHAnsi"/>
          <w:i/>
          <w:color w:val="000000" w:themeColor="text1"/>
        </w:rPr>
        <w:t>is mandatory</w:t>
      </w:r>
      <w:r w:rsidRPr="009D49E3">
        <w:rPr>
          <w:rFonts w:asciiTheme="minorHAnsi" w:hAnsiTheme="minorHAnsi"/>
          <w:color w:val="000000" w:themeColor="text1"/>
        </w:rPr>
        <w:t>.</w:t>
      </w:r>
      <w:r w:rsidRPr="009D49E3">
        <w:rPr>
          <w:rFonts w:asciiTheme="minorHAnsi" w:hAnsiTheme="minorHAnsi"/>
          <w:color w:val="000000" w:themeColor="text1"/>
          <w:spacing w:val="-4"/>
        </w:rPr>
        <w:t xml:space="preserve"> </w:t>
      </w:r>
      <w:r w:rsidR="001B621D" w:rsidRPr="009D49E3">
        <w:rPr>
          <w:rFonts w:asciiTheme="minorHAnsi" w:hAnsiTheme="minorHAnsi"/>
          <w:color w:val="000000" w:themeColor="text1"/>
          <w:spacing w:val="-4"/>
        </w:rPr>
        <w:t xml:space="preserve"> </w:t>
      </w:r>
    </w:p>
    <w:p w14:paraId="1F9AB4CD" w14:textId="37F4032D" w:rsidR="00AB45FD" w:rsidRPr="009D49E3" w:rsidRDefault="00E679D0" w:rsidP="00E679D0">
      <w:pPr>
        <w:pStyle w:val="BodyText"/>
        <w:numPr>
          <w:ilvl w:val="0"/>
          <w:numId w:val="4"/>
        </w:numPr>
        <w:spacing w:before="56"/>
        <w:ind w:right="226"/>
        <w:jc w:val="both"/>
        <w:rPr>
          <w:rFonts w:asciiTheme="minorHAnsi" w:hAnsiTheme="minorHAnsi"/>
          <w:color w:val="000000" w:themeColor="text1"/>
        </w:rPr>
      </w:pPr>
      <w:r w:rsidRPr="00E679D0">
        <w:rPr>
          <w:rFonts w:asciiTheme="minorHAnsi" w:hAnsiTheme="minorHAnsi"/>
          <w:color w:val="000000" w:themeColor="text1"/>
          <w:spacing w:val="-4"/>
          <w:u w:val="single"/>
        </w:rPr>
        <w:t>For HCPs</w:t>
      </w:r>
      <w:r w:rsidR="000E1080">
        <w:rPr>
          <w:rFonts w:asciiTheme="minorHAnsi" w:hAnsiTheme="minorHAnsi"/>
          <w:color w:val="000000" w:themeColor="text1"/>
          <w:spacing w:val="-4"/>
        </w:rPr>
        <w:t>:</w:t>
      </w:r>
      <w:r w:rsidR="000E1080" w:rsidRPr="000E1080">
        <w:rPr>
          <w:rFonts w:asciiTheme="minorHAnsi" w:hAnsiTheme="minorHAnsi"/>
          <w:color w:val="000000" w:themeColor="text1"/>
          <w:spacing w:val="-4"/>
        </w:rPr>
        <w:t xml:space="preserve"> </w:t>
      </w:r>
      <w:r w:rsidR="001B621D" w:rsidRPr="009D49E3">
        <w:rPr>
          <w:rFonts w:asciiTheme="minorHAnsi" w:hAnsiTheme="minorHAnsi"/>
          <w:color w:val="000000" w:themeColor="text1"/>
          <w:spacing w:val="-4"/>
        </w:rPr>
        <w:t xml:space="preserve">the processing of individual </w:t>
      </w:r>
      <w:proofErr w:type="spellStart"/>
      <w:r w:rsidR="001B621D" w:rsidRPr="009D49E3">
        <w:rPr>
          <w:rFonts w:asciiTheme="minorHAnsi" w:hAnsiTheme="minorHAnsi"/>
          <w:color w:val="000000" w:themeColor="text1"/>
          <w:spacing w:val="-4"/>
        </w:rPr>
        <w:t>ToV</w:t>
      </w:r>
      <w:r w:rsidR="000E1080">
        <w:rPr>
          <w:rFonts w:asciiTheme="minorHAnsi" w:hAnsiTheme="minorHAnsi"/>
          <w:color w:val="000000" w:themeColor="text1"/>
          <w:spacing w:val="-4"/>
        </w:rPr>
        <w:t>s</w:t>
      </w:r>
      <w:proofErr w:type="spellEnd"/>
      <w:r w:rsidR="000E1080">
        <w:rPr>
          <w:rFonts w:asciiTheme="minorHAnsi" w:hAnsiTheme="minorHAnsi"/>
          <w:color w:val="000000" w:themeColor="text1"/>
          <w:spacing w:val="-4"/>
        </w:rPr>
        <w:t xml:space="preserve"> </w:t>
      </w:r>
      <w:r w:rsidR="000E1080" w:rsidRPr="009D49E3">
        <w:rPr>
          <w:rFonts w:asciiTheme="minorHAnsi" w:hAnsiTheme="minorHAnsi"/>
          <w:color w:val="000000" w:themeColor="text1"/>
          <w:spacing w:val="-4"/>
        </w:rPr>
        <w:t xml:space="preserve">to individual HCPs </w:t>
      </w:r>
      <w:r w:rsidR="001B621D" w:rsidRPr="009D49E3">
        <w:rPr>
          <w:rFonts w:asciiTheme="minorHAnsi" w:hAnsiTheme="minorHAnsi"/>
          <w:color w:val="000000" w:themeColor="text1"/>
          <w:spacing w:val="-4"/>
        </w:rPr>
        <w:t xml:space="preserve">may be carried out </w:t>
      </w:r>
      <w:proofErr w:type="gramStart"/>
      <w:r w:rsidR="001B621D" w:rsidRPr="009D49E3">
        <w:rPr>
          <w:rFonts w:asciiTheme="minorHAnsi" w:hAnsiTheme="minorHAnsi"/>
          <w:color w:val="000000" w:themeColor="text1"/>
          <w:spacing w:val="-4"/>
        </w:rPr>
        <w:t>on the basis of</w:t>
      </w:r>
      <w:proofErr w:type="gramEnd"/>
      <w:r w:rsidR="001B621D" w:rsidRPr="009D49E3">
        <w:rPr>
          <w:rFonts w:asciiTheme="minorHAnsi" w:hAnsiTheme="minorHAnsi"/>
          <w:color w:val="000000" w:themeColor="text1"/>
          <w:spacing w:val="-4"/>
        </w:rPr>
        <w:t xml:space="preserve"> Legitimate Interest (LI)</w:t>
      </w:r>
      <w:r w:rsidR="007D5BF8" w:rsidRPr="009D49E3">
        <w:rPr>
          <w:rFonts w:asciiTheme="minorHAnsi" w:hAnsiTheme="minorHAnsi"/>
          <w:color w:val="000000" w:themeColor="text1"/>
          <w:spacing w:val="-4"/>
        </w:rPr>
        <w:t>, consent or any other legal basis</w:t>
      </w:r>
      <w:r w:rsidR="001B621D" w:rsidRPr="009D49E3">
        <w:rPr>
          <w:rFonts w:asciiTheme="minorHAnsi" w:hAnsiTheme="minorHAnsi"/>
          <w:color w:val="000000" w:themeColor="text1"/>
          <w:spacing w:val="-4"/>
        </w:rPr>
        <w:t xml:space="preserve">. </w:t>
      </w:r>
      <w:r w:rsidR="000E1080">
        <w:rPr>
          <w:rFonts w:asciiTheme="minorHAnsi" w:hAnsiTheme="minorHAnsi"/>
          <w:color w:val="000000" w:themeColor="text1"/>
          <w:spacing w:val="-4"/>
        </w:rPr>
        <w:t xml:space="preserve">However, </w:t>
      </w:r>
      <w:r w:rsidR="00E82BB2" w:rsidRPr="009D49E3">
        <w:rPr>
          <w:rFonts w:asciiTheme="minorHAnsi" w:hAnsiTheme="minorHAnsi"/>
          <w:color w:val="000000" w:themeColor="text1"/>
          <w:spacing w:val="-4"/>
        </w:rPr>
        <w:t xml:space="preserve">IPHA </w:t>
      </w:r>
      <w:r w:rsidR="009965A1" w:rsidRPr="005F2981">
        <w:rPr>
          <w:rFonts w:asciiTheme="minorHAnsi" w:hAnsiTheme="minorHAnsi"/>
          <w:b/>
          <w:bCs/>
          <w:color w:val="000000" w:themeColor="text1"/>
          <w:spacing w:val="-4"/>
        </w:rPr>
        <w:t>en</w:t>
      </w:r>
      <w:r w:rsidR="00070276">
        <w:rPr>
          <w:rFonts w:asciiTheme="minorHAnsi" w:hAnsiTheme="minorHAnsi"/>
          <w:b/>
          <w:bCs/>
          <w:color w:val="000000" w:themeColor="text1"/>
          <w:spacing w:val="-4"/>
        </w:rPr>
        <w:t>dorse</w:t>
      </w:r>
      <w:r w:rsidR="009965A1" w:rsidRPr="005F2981">
        <w:rPr>
          <w:rFonts w:asciiTheme="minorHAnsi" w:hAnsiTheme="minorHAnsi"/>
          <w:b/>
          <w:bCs/>
          <w:color w:val="000000" w:themeColor="text1"/>
          <w:spacing w:val="-4"/>
        </w:rPr>
        <w:t>s</w:t>
      </w:r>
      <w:r w:rsidR="00E82BB2" w:rsidRPr="009D49E3">
        <w:rPr>
          <w:rFonts w:asciiTheme="minorHAnsi" w:hAnsiTheme="minorHAnsi"/>
          <w:color w:val="000000" w:themeColor="text1"/>
          <w:spacing w:val="-4"/>
        </w:rPr>
        <w:t xml:space="preserve"> the u</w:t>
      </w:r>
      <w:r w:rsidR="00070276">
        <w:rPr>
          <w:rFonts w:asciiTheme="minorHAnsi" w:hAnsiTheme="minorHAnsi"/>
          <w:color w:val="000000" w:themeColor="text1"/>
          <w:spacing w:val="-4"/>
        </w:rPr>
        <w:t>s</w:t>
      </w:r>
      <w:r w:rsidR="00E82BB2" w:rsidRPr="009D49E3">
        <w:rPr>
          <w:rFonts w:asciiTheme="minorHAnsi" w:hAnsiTheme="minorHAnsi"/>
          <w:color w:val="000000" w:themeColor="text1"/>
          <w:spacing w:val="-4"/>
        </w:rPr>
        <w:t xml:space="preserve">e of LI as </w:t>
      </w:r>
      <w:r w:rsidR="000E1080">
        <w:rPr>
          <w:rFonts w:asciiTheme="minorHAnsi" w:hAnsiTheme="minorHAnsi"/>
          <w:color w:val="000000" w:themeColor="text1"/>
          <w:spacing w:val="-4"/>
        </w:rPr>
        <w:t>the</w:t>
      </w:r>
      <w:r w:rsidR="00E82BB2" w:rsidRPr="009D49E3">
        <w:rPr>
          <w:rFonts w:asciiTheme="minorHAnsi" w:hAnsiTheme="minorHAnsi"/>
          <w:color w:val="000000" w:themeColor="text1"/>
          <w:spacing w:val="-4"/>
        </w:rPr>
        <w:t xml:space="preserve"> legal basis</w:t>
      </w:r>
      <w:r w:rsidR="00244E9E">
        <w:rPr>
          <w:rFonts w:asciiTheme="minorHAnsi" w:hAnsiTheme="minorHAnsi"/>
          <w:color w:val="000000" w:themeColor="text1"/>
          <w:spacing w:val="-4"/>
        </w:rPr>
        <w:t>.</w:t>
      </w:r>
      <w:r w:rsidR="000E1080">
        <w:rPr>
          <w:rFonts w:asciiTheme="minorHAnsi" w:hAnsiTheme="minorHAnsi"/>
          <w:color w:val="000000" w:themeColor="text1"/>
          <w:spacing w:val="-4"/>
        </w:rPr>
        <w:t xml:space="preserve"> C</w:t>
      </w:r>
      <w:r w:rsidR="00AC629F" w:rsidRPr="00AC629F">
        <w:rPr>
          <w:rFonts w:asciiTheme="minorHAnsi" w:hAnsiTheme="minorHAnsi" w:cstheme="minorHAnsi"/>
          <w:bCs/>
          <w:color w:val="000000" w:themeColor="text1"/>
        </w:rPr>
        <w:t>ompanies that wish to use</w:t>
      </w:r>
    </w:p>
    <w:p w14:paraId="4BFE83B1" w14:textId="10E2E29C" w:rsidR="009F3848" w:rsidRPr="00E679D0" w:rsidRDefault="009F3848" w:rsidP="00E679D0">
      <w:pPr>
        <w:pStyle w:val="ListParagraph"/>
        <w:numPr>
          <w:ilvl w:val="0"/>
          <w:numId w:val="5"/>
        </w:numPr>
        <w:rPr>
          <w:rFonts w:asciiTheme="minorHAnsi" w:hAnsiTheme="minorHAnsi" w:cstheme="minorBidi"/>
          <w:bCs/>
          <w:color w:val="000000" w:themeColor="text1"/>
          <w:lang w:eastAsia="en-US"/>
        </w:rPr>
      </w:pPr>
      <w:r w:rsidRPr="00244E9E">
        <w:rPr>
          <w:rFonts w:asciiTheme="minorHAnsi" w:hAnsiTheme="minorHAnsi" w:cstheme="minorHAnsi"/>
          <w:bCs/>
          <w:color w:val="000000" w:themeColor="text1"/>
          <w:u w:val="single"/>
        </w:rPr>
        <w:t xml:space="preserve">LI as </w:t>
      </w:r>
      <w:r w:rsidR="000E1080">
        <w:rPr>
          <w:rFonts w:asciiTheme="minorHAnsi" w:hAnsiTheme="minorHAnsi" w:cstheme="minorHAnsi"/>
          <w:bCs/>
          <w:color w:val="000000" w:themeColor="text1"/>
          <w:u w:val="single"/>
        </w:rPr>
        <w:t>the</w:t>
      </w:r>
      <w:r w:rsidRPr="00244E9E">
        <w:rPr>
          <w:rFonts w:asciiTheme="minorHAnsi" w:hAnsiTheme="minorHAnsi" w:cstheme="minorHAnsi"/>
          <w:bCs/>
          <w:color w:val="000000" w:themeColor="text1"/>
          <w:u w:val="single"/>
        </w:rPr>
        <w:t xml:space="preserve"> </w:t>
      </w:r>
      <w:r w:rsidR="00AC629F">
        <w:rPr>
          <w:rFonts w:asciiTheme="minorHAnsi" w:hAnsiTheme="minorHAnsi" w:cstheme="minorHAnsi"/>
          <w:bCs/>
          <w:color w:val="000000" w:themeColor="text1"/>
          <w:u w:val="single"/>
        </w:rPr>
        <w:t xml:space="preserve">legal </w:t>
      </w:r>
      <w:r w:rsidRPr="00244E9E">
        <w:rPr>
          <w:rFonts w:asciiTheme="minorHAnsi" w:hAnsiTheme="minorHAnsi" w:cstheme="minorHAnsi"/>
          <w:bCs/>
          <w:color w:val="000000" w:themeColor="text1"/>
          <w:u w:val="single"/>
        </w:rPr>
        <w:t>basis for ToV reporting</w:t>
      </w:r>
      <w:r w:rsidRPr="009D49E3">
        <w:rPr>
          <w:rFonts w:asciiTheme="minorHAnsi" w:hAnsiTheme="minorHAnsi" w:cstheme="minorHAnsi"/>
          <w:bCs/>
          <w:color w:val="000000" w:themeColor="text1"/>
        </w:rPr>
        <w:t xml:space="preserve"> must follow the </w:t>
      </w:r>
      <w:r w:rsidR="00244E9E">
        <w:rPr>
          <w:rFonts w:asciiTheme="minorHAnsi" w:hAnsiTheme="minorHAnsi" w:cstheme="minorHAnsi"/>
          <w:bCs/>
          <w:color w:val="000000" w:themeColor="text1"/>
        </w:rPr>
        <w:t xml:space="preserve">requirements set out in </w:t>
      </w:r>
      <w:r w:rsidR="000E1080">
        <w:rPr>
          <w:rFonts w:asciiTheme="minorHAnsi" w:hAnsiTheme="minorHAnsi" w:cstheme="minorHAnsi"/>
          <w:bCs/>
          <w:color w:val="000000" w:themeColor="text1"/>
        </w:rPr>
        <w:t>the</w:t>
      </w:r>
      <w:r w:rsidR="009D49E3" w:rsidRPr="00E679D0">
        <w:rPr>
          <w:rFonts w:asciiTheme="minorHAnsi" w:hAnsiTheme="minorHAnsi" w:cstheme="minorHAnsi"/>
          <w:bCs/>
          <w:color w:val="000000" w:themeColor="text1"/>
        </w:rPr>
        <w:t xml:space="preserve"> </w:t>
      </w:r>
      <w:r w:rsidR="00A24DCA">
        <w:rPr>
          <w:rFonts w:asciiTheme="minorHAnsi" w:hAnsiTheme="minorHAnsi" w:cstheme="minorHAnsi"/>
          <w:bCs/>
          <w:color w:val="000000" w:themeColor="text1"/>
        </w:rPr>
        <w:t>‘</w:t>
      </w:r>
      <w:r w:rsidR="00A24DCA" w:rsidRPr="00A24DCA">
        <w:rPr>
          <w:rFonts w:asciiTheme="minorHAnsi" w:hAnsiTheme="minorHAnsi" w:cstheme="minorHAnsi"/>
          <w:bCs/>
          <w:i/>
          <w:iCs/>
          <w:color w:val="000000" w:themeColor="text1"/>
        </w:rPr>
        <w:t>Minimum mandatory requirements for Privacy Policies (legitimate interest</w:t>
      </w:r>
      <w:r w:rsidR="00A24DCA">
        <w:rPr>
          <w:rFonts w:asciiTheme="minorHAnsi" w:hAnsiTheme="minorHAnsi" w:cstheme="minorHAnsi"/>
          <w:bCs/>
          <w:i/>
          <w:iCs/>
          <w:color w:val="000000" w:themeColor="text1"/>
        </w:rPr>
        <w:t>)’</w:t>
      </w:r>
      <w:r w:rsidR="000E1080">
        <w:rPr>
          <w:rFonts w:asciiTheme="minorHAnsi" w:hAnsiTheme="minorHAnsi" w:cstheme="minorBidi"/>
          <w:bCs/>
          <w:color w:val="000000" w:themeColor="text1"/>
          <w:lang w:eastAsia="en-US"/>
        </w:rPr>
        <w:t xml:space="preserve"> document</w:t>
      </w:r>
      <w:r w:rsidR="00E679D0" w:rsidRPr="00E679D0">
        <w:rPr>
          <w:rFonts w:asciiTheme="minorHAnsi" w:hAnsiTheme="minorHAnsi" w:cstheme="minorBidi"/>
          <w:bCs/>
          <w:color w:val="000000" w:themeColor="text1"/>
          <w:lang w:eastAsia="en-US"/>
        </w:rPr>
        <w:t>, a</w:t>
      </w:r>
      <w:r w:rsidR="009D49E3" w:rsidRPr="00E679D0">
        <w:rPr>
          <w:rFonts w:asciiTheme="minorHAnsi" w:hAnsiTheme="minorHAnsi" w:cstheme="minorHAnsi"/>
          <w:bCs/>
          <w:color w:val="000000" w:themeColor="text1"/>
        </w:rPr>
        <w:t xml:space="preserve"> copy of </w:t>
      </w:r>
      <w:r w:rsidR="00E679D0" w:rsidRPr="00E679D0">
        <w:rPr>
          <w:rFonts w:asciiTheme="minorHAnsi" w:hAnsiTheme="minorHAnsi" w:cstheme="minorHAnsi"/>
          <w:bCs/>
          <w:color w:val="000000" w:themeColor="text1"/>
        </w:rPr>
        <w:t>which</w:t>
      </w:r>
      <w:r w:rsidR="009D49E3" w:rsidRPr="00E679D0">
        <w:rPr>
          <w:rFonts w:asciiTheme="minorHAnsi" w:hAnsiTheme="minorHAnsi" w:cstheme="minorHAnsi"/>
          <w:bCs/>
          <w:color w:val="000000" w:themeColor="text1"/>
        </w:rPr>
        <w:t xml:space="preserve"> can be downloaded from </w:t>
      </w:r>
      <w:hyperlink r:id="rId9" w:history="1">
        <w:r w:rsidR="009D49E3" w:rsidRPr="00E679D0">
          <w:rPr>
            <w:rStyle w:val="Hyperlink"/>
            <w:rFonts w:asciiTheme="minorHAnsi" w:hAnsiTheme="minorHAnsi" w:cstheme="minorHAnsi"/>
            <w:bCs/>
            <w:color w:val="000000" w:themeColor="text1"/>
          </w:rPr>
          <w:t>www.ipha.ie</w:t>
        </w:r>
      </w:hyperlink>
    </w:p>
    <w:p w14:paraId="2716E107" w14:textId="1F43C09A" w:rsidR="001B621D" w:rsidRDefault="001B621D" w:rsidP="00554F67">
      <w:pPr>
        <w:pStyle w:val="BodyText"/>
        <w:numPr>
          <w:ilvl w:val="0"/>
          <w:numId w:val="5"/>
        </w:numPr>
        <w:spacing w:before="56"/>
        <w:ind w:right="226"/>
        <w:jc w:val="both"/>
      </w:pPr>
      <w:r>
        <w:rPr>
          <w:u w:val="single"/>
        </w:rPr>
        <w:t xml:space="preserve">consent </w:t>
      </w:r>
      <w:r w:rsidR="007D5BF8">
        <w:rPr>
          <w:u w:val="single"/>
        </w:rPr>
        <w:t xml:space="preserve">as a legal </w:t>
      </w:r>
      <w:r>
        <w:rPr>
          <w:u w:val="single"/>
        </w:rPr>
        <w:t>basis</w:t>
      </w:r>
      <w:r w:rsidR="00AC629F" w:rsidRPr="00AC629F">
        <w:rPr>
          <w:rFonts w:asciiTheme="minorHAnsi" w:hAnsiTheme="minorHAnsi" w:cstheme="minorHAnsi"/>
          <w:bCs/>
          <w:color w:val="000000" w:themeColor="text1"/>
          <w:u w:val="single"/>
        </w:rPr>
        <w:t xml:space="preserve"> </w:t>
      </w:r>
      <w:r w:rsidR="00AC629F" w:rsidRPr="00244E9E">
        <w:rPr>
          <w:rFonts w:asciiTheme="minorHAnsi" w:hAnsiTheme="minorHAnsi" w:cstheme="minorHAnsi"/>
          <w:bCs/>
          <w:color w:val="000000" w:themeColor="text1"/>
          <w:u w:val="single"/>
        </w:rPr>
        <w:t>for ToV reporting</w:t>
      </w:r>
      <w:r w:rsidR="008239E5">
        <w:rPr>
          <w:spacing w:val="-5"/>
        </w:rPr>
        <w:t xml:space="preserve"> </w:t>
      </w:r>
      <w:r w:rsidR="00AC629F">
        <w:rPr>
          <w:spacing w:val="-5"/>
        </w:rPr>
        <w:t>are recommended to include the</w:t>
      </w:r>
      <w:r w:rsidR="008239E5">
        <w:rPr>
          <w:spacing w:val="-8"/>
        </w:rPr>
        <w:t xml:space="preserve"> </w:t>
      </w:r>
      <w:r w:rsidR="008239E5">
        <w:t>consent</w:t>
      </w:r>
      <w:r w:rsidR="008239E5">
        <w:rPr>
          <w:spacing w:val="-5"/>
        </w:rPr>
        <w:t xml:space="preserve"> </w:t>
      </w:r>
      <w:r w:rsidR="008239E5" w:rsidRPr="00AB2AD7">
        <w:t>request</w:t>
      </w:r>
      <w:r w:rsidR="00AC629F">
        <w:t xml:space="preserve"> </w:t>
      </w:r>
      <w:r w:rsidR="008239E5" w:rsidRPr="00AB2AD7">
        <w:rPr>
          <w:b/>
          <w:bCs/>
        </w:rPr>
        <w:t>within</w:t>
      </w:r>
      <w:r w:rsidR="008239E5" w:rsidRPr="00AB2AD7">
        <w:rPr>
          <w:vertAlign w:val="superscript"/>
        </w:rPr>
        <w:t>1</w:t>
      </w:r>
      <w:r w:rsidR="008239E5" w:rsidRPr="00AB2AD7">
        <w:rPr>
          <w:spacing w:val="-7"/>
        </w:rPr>
        <w:t xml:space="preserve"> </w:t>
      </w:r>
      <w:r w:rsidR="008239E5" w:rsidRPr="00AB2AD7">
        <w:t>the</w:t>
      </w:r>
      <w:r w:rsidR="008239E5" w:rsidRPr="00AB2AD7">
        <w:rPr>
          <w:spacing w:val="-6"/>
        </w:rPr>
        <w:t xml:space="preserve"> </w:t>
      </w:r>
      <w:r w:rsidR="008239E5" w:rsidRPr="00AB2AD7">
        <w:t>contract</w:t>
      </w:r>
      <w:r w:rsidR="008239E5" w:rsidRPr="00AB2AD7">
        <w:rPr>
          <w:spacing w:val="-5"/>
        </w:rPr>
        <w:t xml:space="preserve"> </w:t>
      </w:r>
      <w:r w:rsidR="00AC629F">
        <w:t xml:space="preserve">rather than </w:t>
      </w:r>
      <w:r w:rsidR="008239E5" w:rsidRPr="00AB2AD7">
        <w:t>separate</w:t>
      </w:r>
      <w:r w:rsidR="008239E5" w:rsidRPr="00AB2AD7">
        <w:rPr>
          <w:spacing w:val="-5"/>
        </w:rPr>
        <w:t xml:space="preserve"> </w:t>
      </w:r>
      <w:r w:rsidR="00AC629F">
        <w:rPr>
          <w:spacing w:val="-5"/>
        </w:rPr>
        <w:t xml:space="preserve">from </w:t>
      </w:r>
      <w:r w:rsidR="008239E5" w:rsidRPr="00AB2AD7">
        <w:t>it.</w:t>
      </w:r>
      <w:r w:rsidR="008239E5" w:rsidRPr="00AB2AD7">
        <w:rPr>
          <w:spacing w:val="-6"/>
        </w:rPr>
        <w:t xml:space="preserve"> </w:t>
      </w:r>
      <w:r w:rsidR="00AC629F">
        <w:t>C</w:t>
      </w:r>
      <w:r w:rsidR="005F2981">
        <w:rPr>
          <w:spacing w:val="-6"/>
        </w:rPr>
        <w:t xml:space="preserve">ompanies should </w:t>
      </w:r>
      <w:r w:rsidR="008239E5" w:rsidRPr="00AB2AD7">
        <w:t>make</w:t>
      </w:r>
      <w:r w:rsidR="008239E5" w:rsidRPr="00AB2AD7">
        <w:rPr>
          <w:spacing w:val="-7"/>
        </w:rPr>
        <w:t xml:space="preserve"> </w:t>
      </w:r>
      <w:r w:rsidR="008239E5" w:rsidRPr="00AB2AD7">
        <w:t xml:space="preserve">the provision of consent </w:t>
      </w:r>
      <w:r w:rsidR="008239E5" w:rsidRPr="00AB2AD7">
        <w:rPr>
          <w:b/>
          <w:bCs/>
        </w:rPr>
        <w:t>simple and convenient</w:t>
      </w:r>
      <w:r w:rsidR="008239E5">
        <w:rPr>
          <w:b/>
        </w:rPr>
        <w:t xml:space="preserve"> </w:t>
      </w:r>
      <w:r w:rsidR="008239E5">
        <w:t>(</w:t>
      </w:r>
      <w:proofErr w:type="gramStart"/>
      <w:r w:rsidR="008239E5">
        <w:t>e.g.</w:t>
      </w:r>
      <w:proofErr w:type="gramEnd"/>
      <w:r w:rsidR="008239E5">
        <w:t xml:space="preserve"> tick box, mouse click), introduce the concept of consent early in the communication process and advise HCPs of the benefits of</w:t>
      </w:r>
      <w:r w:rsidR="008239E5">
        <w:rPr>
          <w:spacing w:val="-21"/>
        </w:rPr>
        <w:t xml:space="preserve"> </w:t>
      </w:r>
      <w:r w:rsidR="008239E5">
        <w:t>transparency.</w:t>
      </w:r>
    </w:p>
    <w:p w14:paraId="33C38590" w14:textId="77777777" w:rsidR="00AB45FD" w:rsidRDefault="008239E5">
      <w:pPr>
        <w:pStyle w:val="ListParagraph"/>
        <w:numPr>
          <w:ilvl w:val="0"/>
          <w:numId w:val="1"/>
        </w:numPr>
        <w:tabs>
          <w:tab w:val="left" w:pos="581"/>
        </w:tabs>
      </w:pPr>
      <w:r>
        <w:rPr>
          <w:u w:val="single"/>
        </w:rPr>
        <w:t>For HCOs:</w:t>
      </w:r>
      <w:r>
        <w:t xml:space="preserve"> companies </w:t>
      </w:r>
      <w:r>
        <w:rPr>
          <w:b/>
        </w:rPr>
        <w:t xml:space="preserve">must </w:t>
      </w:r>
      <w:r>
        <w:t>achieve 100% individual level disclosure. The contract should state that disclosure is a mandatory aspect of the provision of the</w:t>
      </w:r>
      <w:r>
        <w:rPr>
          <w:spacing w:val="-8"/>
        </w:rPr>
        <w:t xml:space="preserve"> </w:t>
      </w:r>
      <w:r>
        <w:t>contract.</w:t>
      </w:r>
    </w:p>
    <w:p w14:paraId="48B48E56" w14:textId="0B8B0B3F" w:rsidR="00AB45FD" w:rsidRDefault="00E82BB2">
      <w:pPr>
        <w:pStyle w:val="BodyText"/>
        <w:spacing w:before="12"/>
        <w:rPr>
          <w:sz w:val="18"/>
        </w:rPr>
      </w:pPr>
      <w:r>
        <w:rPr>
          <w:noProof/>
        </w:rPr>
        <mc:AlternateContent>
          <mc:Choice Requires="wps">
            <w:drawing>
              <wp:anchor distT="0" distB="0" distL="0" distR="0" simplePos="0" relativeHeight="251662336" behindDoc="1" locked="0" layoutInCell="1" allowOverlap="1" wp14:anchorId="2EA9F2E8" wp14:editId="5EA56E73">
                <wp:simplePos x="0" y="0"/>
                <wp:positionH relativeFrom="page">
                  <wp:posOffset>843280</wp:posOffset>
                </wp:positionH>
                <wp:positionV relativeFrom="paragraph">
                  <wp:posOffset>175260</wp:posOffset>
                </wp:positionV>
                <wp:extent cx="6071870" cy="203200"/>
                <wp:effectExtent l="0" t="0" r="0" b="0"/>
                <wp:wrapTopAndBottom/>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203200"/>
                        </a:xfrm>
                        <a:prstGeom prst="rect">
                          <a:avLst/>
                        </a:prstGeom>
                        <a:solidFill>
                          <a:srgbClr val="E4E4E4"/>
                        </a:solidFill>
                        <a:ln w="6096">
                          <a:solidFill>
                            <a:srgbClr val="000000"/>
                          </a:solidFill>
                          <a:miter lim="800000"/>
                          <a:headEnd/>
                          <a:tailEnd/>
                        </a:ln>
                      </wps:spPr>
                      <wps:txbx>
                        <w:txbxContent>
                          <w:p w14:paraId="46982D69" w14:textId="77777777" w:rsidR="00AB45FD" w:rsidRDefault="008239E5">
                            <w:pPr>
                              <w:spacing w:before="18"/>
                              <w:ind w:left="108"/>
                              <w:rPr>
                                <w:b/>
                              </w:rPr>
                            </w:pPr>
                            <w:r>
                              <w:rPr>
                                <w:b/>
                              </w:rPr>
                              <w:t>UNIQUE IDENTIFICATION FOR HCPs &amp; HCOs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A9F2E8" id="Text Box 4" o:spid="_x0000_s1030" type="#_x0000_t202" style="position:absolute;margin-left:66.4pt;margin-top:13.8pt;width:478.1pt;height:16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" fillcolor="#e4e4e4" strokeweight=".48pt">
                <v:textbox inset="0,0,0,0">
                  <w:txbxContent>
                    <w:p w14:paraId="46982D69" w14:textId="77777777" w:rsidR="00AB45FD" w:rsidRDefault="008239E5">
                      <w:pPr>
                        <w:spacing w:before="18"/>
                        <w:ind w:left="108"/>
                        <w:rPr>
                          <w:b/>
                        </w:rPr>
                      </w:pPr>
                      <w:r>
                        <w:rPr>
                          <w:b/>
                        </w:rPr>
                        <w:t>UNIQUE IDENTIFICATION FOR HCPs &amp; HCOs</w:t>
                      </w:r>
                    </w:p>
                  </w:txbxContent>
                </v:textbox>
                <w10:wrap type="topAndBottom" anchorx="page"/>
              </v:shape>
            </w:pict>
          </mc:Fallback>
        </mc:AlternateContent>
      </w:r>
    </w:p>
    <w:p w14:paraId="51C54BE3" w14:textId="77777777" w:rsidR="00AB45FD" w:rsidRDefault="00AB45FD">
      <w:pPr>
        <w:pStyle w:val="BodyText"/>
        <w:spacing w:before="9"/>
        <w:rPr>
          <w:sz w:val="14"/>
        </w:rPr>
      </w:pPr>
    </w:p>
    <w:p w14:paraId="51A12F8B" w14:textId="419346EB" w:rsidR="00AB45FD" w:rsidRDefault="008239E5" w:rsidP="00554F67">
      <w:pPr>
        <w:spacing w:before="56"/>
        <w:ind w:left="220" w:right="226"/>
        <w:jc w:val="both"/>
      </w:pPr>
      <w:r>
        <w:t xml:space="preserve">As outlined in the IPHA and EFPIA Codes, members must ensure that </w:t>
      </w:r>
      <w:r>
        <w:rPr>
          <w:i/>
        </w:rPr>
        <w:t>each Recipient is identified so that there</w:t>
      </w:r>
      <w:r>
        <w:rPr>
          <w:i/>
          <w:spacing w:val="-3"/>
        </w:rPr>
        <w:t xml:space="preserve"> </w:t>
      </w:r>
      <w:r>
        <w:rPr>
          <w:i/>
        </w:rPr>
        <w:t>is</w:t>
      </w:r>
      <w:r>
        <w:rPr>
          <w:i/>
          <w:spacing w:val="-3"/>
        </w:rPr>
        <w:t xml:space="preserve"> </w:t>
      </w:r>
      <w:r>
        <w:rPr>
          <w:i/>
        </w:rPr>
        <w:t>no</w:t>
      </w:r>
      <w:r>
        <w:rPr>
          <w:i/>
          <w:spacing w:val="-4"/>
        </w:rPr>
        <w:t xml:space="preserve"> </w:t>
      </w:r>
      <w:r>
        <w:rPr>
          <w:i/>
        </w:rPr>
        <w:t>doubt</w:t>
      </w:r>
      <w:r>
        <w:rPr>
          <w:i/>
          <w:spacing w:val="-2"/>
        </w:rPr>
        <w:t xml:space="preserve"> </w:t>
      </w:r>
      <w:r>
        <w:rPr>
          <w:i/>
        </w:rPr>
        <w:t>as</w:t>
      </w:r>
      <w:r>
        <w:rPr>
          <w:i/>
          <w:spacing w:val="-3"/>
        </w:rPr>
        <w:t xml:space="preserve"> </w:t>
      </w:r>
      <w:r>
        <w:rPr>
          <w:i/>
        </w:rPr>
        <w:t>to</w:t>
      </w:r>
      <w:r>
        <w:rPr>
          <w:i/>
          <w:spacing w:val="-3"/>
        </w:rPr>
        <w:t xml:space="preserve"> </w:t>
      </w:r>
      <w:r>
        <w:rPr>
          <w:i/>
        </w:rPr>
        <w:t>the</w:t>
      </w:r>
      <w:r>
        <w:rPr>
          <w:i/>
          <w:spacing w:val="-3"/>
        </w:rPr>
        <w:t xml:space="preserve"> </w:t>
      </w:r>
      <w:r>
        <w:rPr>
          <w:i/>
        </w:rPr>
        <w:t>identity</w:t>
      </w:r>
      <w:r>
        <w:rPr>
          <w:i/>
          <w:spacing w:val="-3"/>
        </w:rPr>
        <w:t xml:space="preserve"> </w:t>
      </w:r>
      <w:r>
        <w:rPr>
          <w:i/>
        </w:rPr>
        <w:t>of</w:t>
      </w:r>
      <w:r>
        <w:rPr>
          <w:i/>
          <w:spacing w:val="-4"/>
        </w:rPr>
        <w:t xml:space="preserve"> </w:t>
      </w:r>
      <w:r>
        <w:rPr>
          <w:i/>
        </w:rPr>
        <w:t>the</w:t>
      </w:r>
      <w:r>
        <w:rPr>
          <w:i/>
          <w:spacing w:val="-4"/>
        </w:rPr>
        <w:t xml:space="preserve"> </w:t>
      </w:r>
      <w:r>
        <w:rPr>
          <w:i/>
        </w:rPr>
        <w:t>HCP/HCO</w:t>
      </w:r>
      <w:r>
        <w:rPr>
          <w:i/>
          <w:spacing w:val="-4"/>
        </w:rPr>
        <w:t xml:space="preserve"> </w:t>
      </w:r>
      <w:r>
        <w:rPr>
          <w:i/>
        </w:rPr>
        <w:t>benefiting</w:t>
      </w:r>
      <w:r>
        <w:rPr>
          <w:i/>
          <w:spacing w:val="-3"/>
        </w:rPr>
        <w:t xml:space="preserve"> </w:t>
      </w:r>
      <w:r>
        <w:rPr>
          <w:i/>
        </w:rPr>
        <w:t>from</w:t>
      </w:r>
      <w:r>
        <w:rPr>
          <w:i/>
          <w:spacing w:val="-6"/>
        </w:rPr>
        <w:t xml:space="preserve"> </w:t>
      </w:r>
      <w:r>
        <w:rPr>
          <w:i/>
        </w:rPr>
        <w:t>the</w:t>
      </w:r>
      <w:r>
        <w:rPr>
          <w:i/>
          <w:spacing w:val="-4"/>
        </w:rPr>
        <w:t xml:space="preserve"> </w:t>
      </w:r>
      <w:r>
        <w:rPr>
          <w:i/>
        </w:rPr>
        <w:t>ToV</w:t>
      </w:r>
      <w:r>
        <w:rPr>
          <w:vertAlign w:val="superscript"/>
        </w:rPr>
        <w:t>2</w:t>
      </w:r>
      <w:r>
        <w:t>.</w:t>
      </w:r>
      <w:r>
        <w:rPr>
          <w:spacing w:val="-4"/>
        </w:rPr>
        <w:t xml:space="preserve"> </w:t>
      </w:r>
      <w:r w:rsidR="001B621D">
        <w:t>F</w:t>
      </w:r>
      <w:r>
        <w:t xml:space="preserve">ailure to uniquely identify HCOs and HCPs will be considered a significant issue by the IPHA Prescription </w:t>
      </w:r>
      <w:r w:rsidR="00775560">
        <w:t>Medicine</w:t>
      </w:r>
      <w:r w:rsidR="000E1080">
        <w:t>s</w:t>
      </w:r>
      <w:r w:rsidR="00775560">
        <w:t xml:space="preserve"> </w:t>
      </w:r>
      <w:r>
        <w:t>Division Strategy Board.</w:t>
      </w:r>
      <w:r w:rsidR="00554F67">
        <w:t xml:space="preserve"> </w:t>
      </w:r>
      <w:r>
        <w:t>Thus</w:t>
      </w:r>
      <w:r w:rsidR="00554F67">
        <w:t>,</w:t>
      </w:r>
      <w:r>
        <w:t xml:space="preserve"> it is strongly recommended that for all </w:t>
      </w:r>
      <w:proofErr w:type="spellStart"/>
      <w:r>
        <w:t>ToVs</w:t>
      </w:r>
      <w:proofErr w:type="spellEnd"/>
      <w:r>
        <w:t xml:space="preserve"> each member</w:t>
      </w:r>
    </w:p>
    <w:p w14:paraId="2FA9D26C" w14:textId="77777777" w:rsidR="00AB45FD" w:rsidRDefault="008239E5">
      <w:pPr>
        <w:pStyle w:val="ListParagraph"/>
        <w:numPr>
          <w:ilvl w:val="1"/>
          <w:numId w:val="1"/>
        </w:numPr>
        <w:tabs>
          <w:tab w:val="left" w:pos="940"/>
          <w:tab w:val="left" w:pos="941"/>
        </w:tabs>
        <w:ind w:right="231"/>
        <w:jc w:val="left"/>
      </w:pPr>
      <w:r>
        <w:t>uses the relevant Medical Council/Pharmaceutical Society of Ireland/Nursing and Midwifery Board of Ireland/Dental Council of Ireland registration numbers for</w:t>
      </w:r>
      <w:r>
        <w:rPr>
          <w:spacing w:val="-11"/>
        </w:rPr>
        <w:t xml:space="preserve"> </w:t>
      </w:r>
      <w:r>
        <w:t>HCPs,</w:t>
      </w:r>
    </w:p>
    <w:p w14:paraId="20FA346E" w14:textId="77777777" w:rsidR="00AB45FD" w:rsidRDefault="008239E5">
      <w:pPr>
        <w:pStyle w:val="ListParagraph"/>
        <w:numPr>
          <w:ilvl w:val="1"/>
          <w:numId w:val="1"/>
        </w:numPr>
        <w:tabs>
          <w:tab w:val="left" w:pos="940"/>
          <w:tab w:val="left" w:pos="941"/>
        </w:tabs>
        <w:spacing w:before="3" w:line="237" w:lineRule="auto"/>
        <w:ind w:right="227"/>
        <w:jc w:val="left"/>
      </w:pPr>
      <w:r>
        <w:t>uses</w:t>
      </w:r>
      <w:r>
        <w:rPr>
          <w:spacing w:val="-10"/>
        </w:rPr>
        <w:t xml:space="preserve"> </w:t>
      </w:r>
      <w:r>
        <w:t>the</w:t>
      </w:r>
      <w:r>
        <w:rPr>
          <w:spacing w:val="-10"/>
        </w:rPr>
        <w:t xml:space="preserve"> </w:t>
      </w:r>
      <w:r>
        <w:t>‘payee’</w:t>
      </w:r>
      <w:r>
        <w:rPr>
          <w:spacing w:val="-13"/>
        </w:rPr>
        <w:t xml:space="preserve"> </w:t>
      </w:r>
      <w:r>
        <w:t>name</w:t>
      </w:r>
      <w:r>
        <w:rPr>
          <w:spacing w:val="-10"/>
        </w:rPr>
        <w:t xml:space="preserve"> </w:t>
      </w:r>
      <w:r>
        <w:t>as</w:t>
      </w:r>
      <w:r>
        <w:rPr>
          <w:spacing w:val="-11"/>
        </w:rPr>
        <w:t xml:space="preserve"> </w:t>
      </w:r>
      <w:r>
        <w:t>it</w:t>
      </w:r>
      <w:r>
        <w:rPr>
          <w:spacing w:val="-13"/>
        </w:rPr>
        <w:t xml:space="preserve"> </w:t>
      </w:r>
      <w:r>
        <w:t>appears</w:t>
      </w:r>
      <w:r>
        <w:rPr>
          <w:spacing w:val="-10"/>
        </w:rPr>
        <w:t xml:space="preserve"> </w:t>
      </w:r>
      <w:r>
        <w:t>on</w:t>
      </w:r>
      <w:r>
        <w:rPr>
          <w:spacing w:val="-11"/>
        </w:rPr>
        <w:t xml:space="preserve"> </w:t>
      </w:r>
      <w:r>
        <w:t>the</w:t>
      </w:r>
      <w:r>
        <w:rPr>
          <w:spacing w:val="-9"/>
        </w:rPr>
        <w:t xml:space="preserve"> </w:t>
      </w:r>
      <w:r>
        <w:t>financial</w:t>
      </w:r>
      <w:r>
        <w:rPr>
          <w:spacing w:val="-13"/>
        </w:rPr>
        <w:t xml:space="preserve"> </w:t>
      </w:r>
      <w:r>
        <w:t>transaction</w:t>
      </w:r>
      <w:r>
        <w:rPr>
          <w:spacing w:val="-11"/>
        </w:rPr>
        <w:t xml:space="preserve"> </w:t>
      </w:r>
      <w:r>
        <w:t>for</w:t>
      </w:r>
      <w:r>
        <w:rPr>
          <w:spacing w:val="-9"/>
        </w:rPr>
        <w:t xml:space="preserve"> </w:t>
      </w:r>
      <w:r>
        <w:t>HCOs</w:t>
      </w:r>
      <w:r>
        <w:rPr>
          <w:spacing w:val="-10"/>
        </w:rPr>
        <w:t xml:space="preserve"> </w:t>
      </w:r>
      <w:r>
        <w:rPr>
          <w:i/>
        </w:rPr>
        <w:t>(together</w:t>
      </w:r>
      <w:r>
        <w:rPr>
          <w:i/>
          <w:spacing w:val="-9"/>
        </w:rPr>
        <w:t xml:space="preserve"> </w:t>
      </w:r>
      <w:r>
        <w:rPr>
          <w:i/>
        </w:rPr>
        <w:t>with</w:t>
      </w:r>
      <w:r>
        <w:rPr>
          <w:i/>
          <w:spacing w:val="-11"/>
        </w:rPr>
        <w:t xml:space="preserve"> </w:t>
      </w:r>
      <w:r>
        <w:rPr>
          <w:i/>
        </w:rPr>
        <w:t>any</w:t>
      </w:r>
      <w:r>
        <w:rPr>
          <w:i/>
          <w:spacing w:val="-11"/>
        </w:rPr>
        <w:t xml:space="preserve"> </w:t>
      </w:r>
      <w:r>
        <w:rPr>
          <w:i/>
        </w:rPr>
        <w:t>other required identifier if the payee name is not unique)</w:t>
      </w:r>
      <w:r w:rsidRPr="00554F67">
        <w:rPr>
          <w:b/>
          <w:bCs/>
          <w:i/>
          <w:spacing w:val="-5"/>
        </w:rPr>
        <w:t xml:space="preserve"> </w:t>
      </w:r>
      <w:r w:rsidRPr="00554F67">
        <w:rPr>
          <w:b/>
          <w:bCs/>
        </w:rPr>
        <w:t>or</w:t>
      </w:r>
    </w:p>
    <w:p w14:paraId="39BA2678" w14:textId="77777777" w:rsidR="00AB45FD" w:rsidRDefault="008239E5">
      <w:pPr>
        <w:pStyle w:val="ListParagraph"/>
        <w:numPr>
          <w:ilvl w:val="1"/>
          <w:numId w:val="1"/>
        </w:numPr>
        <w:tabs>
          <w:tab w:val="left" w:pos="940"/>
          <w:tab w:val="left" w:pos="941"/>
        </w:tabs>
        <w:spacing w:before="2"/>
        <w:ind w:right="0" w:hanging="361"/>
        <w:jc w:val="left"/>
      </w:pPr>
      <w:r>
        <w:t>develops its own unique</w:t>
      </w:r>
      <w:r>
        <w:rPr>
          <w:spacing w:val="-1"/>
        </w:rPr>
        <w:t xml:space="preserve"> </w:t>
      </w:r>
      <w:r>
        <w:t>identifiers.</w:t>
      </w:r>
    </w:p>
    <w:p w14:paraId="3562A083" w14:textId="0651BC87" w:rsidR="00AB45FD" w:rsidRDefault="00E82BB2">
      <w:pPr>
        <w:pStyle w:val="BodyText"/>
        <w:spacing w:before="1"/>
        <w:rPr>
          <w:sz w:val="19"/>
        </w:rPr>
      </w:pPr>
      <w:r>
        <w:rPr>
          <w:noProof/>
        </w:rPr>
        <mc:AlternateContent>
          <mc:Choice Requires="wps">
            <w:drawing>
              <wp:anchor distT="0" distB="0" distL="0" distR="0" simplePos="0" relativeHeight="251663360" behindDoc="1" locked="0" layoutInCell="1" allowOverlap="1" wp14:anchorId="48D88CFE" wp14:editId="0B242FFD">
                <wp:simplePos x="0" y="0"/>
                <wp:positionH relativeFrom="page">
                  <wp:posOffset>843280</wp:posOffset>
                </wp:positionH>
                <wp:positionV relativeFrom="paragraph">
                  <wp:posOffset>175895</wp:posOffset>
                </wp:positionV>
                <wp:extent cx="6071870" cy="20320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1870" cy="203200"/>
                        </a:xfrm>
                        <a:prstGeom prst="rect">
                          <a:avLst/>
                        </a:prstGeom>
                        <a:solidFill>
                          <a:srgbClr val="E4E4E4"/>
                        </a:solidFill>
                        <a:ln w="6096">
                          <a:solidFill>
                            <a:srgbClr val="000000"/>
                          </a:solidFill>
                          <a:miter lim="800000"/>
                          <a:headEnd/>
                          <a:tailEnd/>
                        </a:ln>
                      </wps:spPr>
                      <wps:txbx>
                        <w:txbxContent>
                          <w:p w14:paraId="0F218BCC" w14:textId="77777777" w:rsidR="00AB45FD" w:rsidRDefault="008239E5">
                            <w:pPr>
                              <w:spacing w:before="18"/>
                              <w:ind w:left="108"/>
                              <w:rPr>
                                <w:b/>
                              </w:rPr>
                            </w:pPr>
                            <w:r>
                              <w:rPr>
                                <w:b/>
                              </w:rPr>
                              <w:t>INFORMING KEY STAKEHOLDERS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88CFE" id="Text Box 3" o:spid="_x0000_s1031" type="#_x0000_t202" style="position:absolute;margin-left:66.4pt;margin-top:13.85pt;width:478.1pt;height:16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" fillcolor="#e4e4e4" strokeweight=".48pt">
                <v:textbox inset="0,0,0,0">
                  <w:txbxContent>
                    <w:p w14:paraId="0F218BCC" w14:textId="77777777" w:rsidR="00AB45FD" w:rsidRDefault="008239E5">
                      <w:pPr>
                        <w:spacing w:before="18"/>
                        <w:ind w:left="108"/>
                        <w:rPr>
                          <w:b/>
                        </w:rPr>
                      </w:pPr>
                      <w:r>
                        <w:rPr>
                          <w:b/>
                        </w:rPr>
                        <w:t>INFORMING KEY STAKEHOLDERS</w:t>
                      </w:r>
                    </w:p>
                  </w:txbxContent>
                </v:textbox>
                <w10:wrap type="topAndBottom" anchorx="page"/>
              </v:shape>
            </w:pict>
          </mc:Fallback>
        </mc:AlternateContent>
      </w:r>
    </w:p>
    <w:p w14:paraId="23B4900B" w14:textId="77777777" w:rsidR="00AB45FD" w:rsidRDefault="00AB45FD">
      <w:pPr>
        <w:pStyle w:val="BodyText"/>
        <w:spacing w:before="10"/>
        <w:rPr>
          <w:sz w:val="14"/>
        </w:rPr>
      </w:pPr>
    </w:p>
    <w:p w14:paraId="6106B04A" w14:textId="77777777" w:rsidR="00AB45FD" w:rsidRDefault="008239E5">
      <w:pPr>
        <w:pStyle w:val="BodyText"/>
        <w:spacing w:before="56"/>
        <w:ind w:left="220"/>
      </w:pPr>
      <w:r>
        <w:t xml:space="preserve">For all HCO </w:t>
      </w:r>
      <w:proofErr w:type="spellStart"/>
      <w:r>
        <w:t>ToVs</w:t>
      </w:r>
      <w:proofErr w:type="spellEnd"/>
    </w:p>
    <w:p w14:paraId="707C95ED" w14:textId="3CA1BCD5" w:rsidR="00AB45FD" w:rsidRPr="00554F67" w:rsidRDefault="008239E5" w:rsidP="00554F67">
      <w:pPr>
        <w:pStyle w:val="ListParagraph"/>
        <w:numPr>
          <w:ilvl w:val="1"/>
          <w:numId w:val="1"/>
        </w:numPr>
        <w:tabs>
          <w:tab w:val="left" w:pos="941"/>
        </w:tabs>
        <w:ind w:right="227"/>
      </w:pPr>
      <w:r>
        <w:t>where the payee name includes the name of a hospital, institution, HSE, etc. OR the payee is employed</w:t>
      </w:r>
      <w:r>
        <w:rPr>
          <w:spacing w:val="-3"/>
        </w:rPr>
        <w:t xml:space="preserve"> </w:t>
      </w:r>
      <w:r>
        <w:t>by</w:t>
      </w:r>
      <w:r>
        <w:rPr>
          <w:spacing w:val="-2"/>
        </w:rPr>
        <w:t xml:space="preserve"> </w:t>
      </w:r>
      <w:r>
        <w:t>one</w:t>
      </w:r>
      <w:r>
        <w:rPr>
          <w:spacing w:val="-4"/>
        </w:rPr>
        <w:t xml:space="preserve"> </w:t>
      </w:r>
      <w:r>
        <w:t>of</w:t>
      </w:r>
      <w:r>
        <w:rPr>
          <w:spacing w:val="-2"/>
        </w:rPr>
        <w:t xml:space="preserve"> </w:t>
      </w:r>
      <w:r>
        <w:t>the</w:t>
      </w:r>
      <w:r>
        <w:rPr>
          <w:spacing w:val="-2"/>
        </w:rPr>
        <w:t xml:space="preserve"> </w:t>
      </w:r>
      <w:r>
        <w:t>aforementioned</w:t>
      </w:r>
      <w:r>
        <w:rPr>
          <w:spacing w:val="-5"/>
        </w:rPr>
        <w:t xml:space="preserve"> </w:t>
      </w:r>
      <w:r>
        <w:t>organisations</w:t>
      </w:r>
      <w:r>
        <w:rPr>
          <w:spacing w:val="-2"/>
        </w:rPr>
        <w:t xml:space="preserve"> </w:t>
      </w:r>
      <w:r>
        <w:t>OR</w:t>
      </w:r>
      <w:r>
        <w:rPr>
          <w:spacing w:val="-2"/>
        </w:rPr>
        <w:t xml:space="preserve"> </w:t>
      </w:r>
      <w:r>
        <w:t>the</w:t>
      </w:r>
      <w:r>
        <w:rPr>
          <w:spacing w:val="-2"/>
        </w:rPr>
        <w:t xml:space="preserve"> </w:t>
      </w:r>
      <w:r>
        <w:t>ToV</w:t>
      </w:r>
      <w:r>
        <w:rPr>
          <w:spacing w:val="-3"/>
        </w:rPr>
        <w:t xml:space="preserve"> </w:t>
      </w:r>
      <w:r>
        <w:t>is</w:t>
      </w:r>
      <w:r>
        <w:rPr>
          <w:spacing w:val="-2"/>
        </w:rPr>
        <w:t xml:space="preserve"> </w:t>
      </w:r>
      <w:r>
        <w:t>destined</w:t>
      </w:r>
      <w:r>
        <w:rPr>
          <w:spacing w:val="-2"/>
        </w:rPr>
        <w:t xml:space="preserve"> </w:t>
      </w:r>
      <w:r>
        <w:t>for</w:t>
      </w:r>
      <w:r>
        <w:rPr>
          <w:spacing w:val="-3"/>
        </w:rPr>
        <w:t xml:space="preserve"> </w:t>
      </w:r>
      <w:r>
        <w:t>use</w:t>
      </w:r>
      <w:r>
        <w:rPr>
          <w:spacing w:val="-2"/>
        </w:rPr>
        <w:t xml:space="preserve"> </w:t>
      </w:r>
      <w:r>
        <w:t>within</w:t>
      </w:r>
      <w:r>
        <w:rPr>
          <w:spacing w:val="-4"/>
        </w:rPr>
        <w:t xml:space="preserve"> </w:t>
      </w:r>
      <w:r>
        <w:t>one of</w:t>
      </w:r>
      <w:r>
        <w:rPr>
          <w:spacing w:val="-6"/>
        </w:rPr>
        <w:t xml:space="preserve"> </w:t>
      </w:r>
      <w:r>
        <w:t>them</w:t>
      </w:r>
      <w:r>
        <w:rPr>
          <w:spacing w:val="-5"/>
        </w:rPr>
        <w:t xml:space="preserve"> </w:t>
      </w:r>
      <w:r>
        <w:t>then</w:t>
      </w:r>
      <w:r>
        <w:rPr>
          <w:spacing w:val="-8"/>
        </w:rPr>
        <w:t xml:space="preserve"> </w:t>
      </w:r>
      <w:r>
        <w:t>members</w:t>
      </w:r>
      <w:r>
        <w:rPr>
          <w:spacing w:val="-8"/>
        </w:rPr>
        <w:t xml:space="preserve"> </w:t>
      </w:r>
      <w:r>
        <w:t>must</w:t>
      </w:r>
      <w:r>
        <w:rPr>
          <w:spacing w:val="-4"/>
        </w:rPr>
        <w:t xml:space="preserve"> </w:t>
      </w:r>
      <w:r>
        <w:t>ensure</w:t>
      </w:r>
      <w:r>
        <w:rPr>
          <w:spacing w:val="-5"/>
        </w:rPr>
        <w:t xml:space="preserve"> </w:t>
      </w:r>
      <w:r>
        <w:t>that</w:t>
      </w:r>
      <w:r>
        <w:rPr>
          <w:spacing w:val="-5"/>
        </w:rPr>
        <w:t xml:space="preserve"> </w:t>
      </w:r>
      <w:r>
        <w:t>the</w:t>
      </w:r>
      <w:r>
        <w:rPr>
          <w:spacing w:val="-5"/>
        </w:rPr>
        <w:t xml:space="preserve"> </w:t>
      </w:r>
      <w:r>
        <w:t>aforementioned</w:t>
      </w:r>
      <w:r>
        <w:rPr>
          <w:spacing w:val="-5"/>
        </w:rPr>
        <w:t xml:space="preserve"> </w:t>
      </w:r>
      <w:r>
        <w:t>organisation’s</w:t>
      </w:r>
      <w:r>
        <w:rPr>
          <w:spacing w:val="-5"/>
        </w:rPr>
        <w:t xml:space="preserve"> </w:t>
      </w:r>
      <w:r>
        <w:t>senior</w:t>
      </w:r>
      <w:r>
        <w:rPr>
          <w:spacing w:val="-6"/>
        </w:rPr>
        <w:t xml:space="preserve"> </w:t>
      </w:r>
      <w:r>
        <w:t xml:space="preserve">management is informed of the ToV, together with the </w:t>
      </w:r>
      <w:proofErr w:type="gramStart"/>
      <w:r>
        <w:t>payee</w:t>
      </w:r>
      <w:proofErr w:type="gramEnd"/>
      <w:r>
        <w:t xml:space="preserve"> name and name of the individual(s) who signed the contract on behalf of the</w:t>
      </w:r>
      <w:r>
        <w:rPr>
          <w:spacing w:val="-9"/>
        </w:rPr>
        <w:t xml:space="preserve"> </w:t>
      </w:r>
      <w:r>
        <w:t>HCO.</w:t>
      </w:r>
    </w:p>
    <w:p w14:paraId="7690956A" w14:textId="77777777" w:rsidR="00AB45FD" w:rsidRDefault="008239E5">
      <w:pPr>
        <w:pStyle w:val="BodyText"/>
        <w:ind w:left="220"/>
      </w:pPr>
      <w:r>
        <w:t xml:space="preserve">For all HCP </w:t>
      </w:r>
      <w:proofErr w:type="spellStart"/>
      <w:r>
        <w:t>ToVs</w:t>
      </w:r>
      <w:proofErr w:type="spellEnd"/>
    </w:p>
    <w:p w14:paraId="23C0E823" w14:textId="65CC80A1" w:rsidR="00AB45FD" w:rsidRDefault="008239E5">
      <w:pPr>
        <w:pStyle w:val="ListParagraph"/>
        <w:numPr>
          <w:ilvl w:val="1"/>
          <w:numId w:val="1"/>
        </w:numPr>
        <w:tabs>
          <w:tab w:val="left" w:pos="929"/>
        </w:tabs>
        <w:spacing w:before="2" w:line="237" w:lineRule="auto"/>
        <w:ind w:left="928"/>
      </w:pPr>
      <w:r>
        <w:t xml:space="preserve">members </w:t>
      </w:r>
      <w:r w:rsidR="00AB2AD7">
        <w:t>must</w:t>
      </w:r>
      <w:r>
        <w:t xml:space="preserve"> inform the HCP of the exact ToV amount that will be made public on transferofvalue.ie, in advance of the publication of the</w:t>
      </w:r>
      <w:r>
        <w:rPr>
          <w:spacing w:val="-13"/>
        </w:rPr>
        <w:t xml:space="preserve"> </w:t>
      </w:r>
      <w:r>
        <w:t>data.</w:t>
      </w:r>
    </w:p>
    <w:p w14:paraId="3A965E75" w14:textId="371CF780" w:rsidR="00AB45FD" w:rsidRDefault="00E82BB2">
      <w:pPr>
        <w:pStyle w:val="BodyText"/>
        <w:spacing w:before="1"/>
        <w:rPr>
          <w:sz w:val="14"/>
        </w:rPr>
      </w:pPr>
      <w:r>
        <w:rPr>
          <w:noProof/>
        </w:rPr>
        <mc:AlternateContent>
          <mc:Choice Requires="wps">
            <w:drawing>
              <wp:anchor distT="0" distB="0" distL="0" distR="0" simplePos="0" relativeHeight="251664384" behindDoc="1" locked="0" layoutInCell="1" allowOverlap="1" wp14:anchorId="36A5B687" wp14:editId="2A270CA6">
                <wp:simplePos x="0" y="0"/>
                <wp:positionH relativeFrom="page">
                  <wp:posOffset>914400</wp:posOffset>
                </wp:positionH>
                <wp:positionV relativeFrom="paragraph">
                  <wp:posOffset>137795</wp:posOffset>
                </wp:positionV>
                <wp:extent cx="1829435"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9435" cy="1270"/>
                        </a:xfrm>
                        <a:custGeom>
                          <a:avLst/>
                          <a:gdLst>
                            <a:gd name="T0" fmla="+- 0 1440 1440"/>
                            <a:gd name="T1" fmla="*/ T0 w 2881"/>
                            <a:gd name="T2" fmla="+- 0 4321 1440"/>
                            <a:gd name="T3" fmla="*/ T2 w 2881"/>
                          </a:gdLst>
                          <a:ahLst/>
                          <a:cxnLst>
                            <a:cxn ang="0">
                              <a:pos x="T1" y="0"/>
                            </a:cxn>
                            <a:cxn ang="0">
                              <a:pos x="T3" y="0"/>
                            </a:cxn>
                          </a:cxnLst>
                          <a:rect l="0" t="0" r="r" b="b"/>
                          <a:pathLst>
                            <a:path w="2881">
                              <a:moveTo>
                                <a:pt x="0" y="0"/>
                              </a:moveTo>
                              <a:lnTo>
                                <a:pt x="2881" y="0"/>
                              </a:lnTo>
                            </a:path>
                          </a:pathLst>
                        </a:custGeom>
                        <a:noFill/>
                        <a:ln w="76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EDAFD" id="Freeform 2" o:spid="_x0000_s1026" style="position:absolute;margin-left:1in;margin-top:10.85pt;width:144.05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8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" path="m,l2881,e" filled="f" strokeweight=".6pt">
                <v:path arrowok="t" o:connecttype="custom" o:connectlocs="0,0;1829435,0" o:connectangles="0,0"/>
                <w10:wrap type="topAndBottom" anchorx="page"/>
              </v:shape>
            </w:pict>
          </mc:Fallback>
        </mc:AlternateContent>
      </w:r>
    </w:p>
    <w:p w14:paraId="35B27CE1" w14:textId="2A02935E" w:rsidR="00AB45FD" w:rsidRDefault="008239E5">
      <w:pPr>
        <w:spacing w:before="75"/>
        <w:ind w:left="220" w:right="230"/>
        <w:jc w:val="both"/>
        <w:rPr>
          <w:sz w:val="16"/>
        </w:rPr>
      </w:pPr>
      <w:r>
        <w:rPr>
          <w:position w:val="5"/>
          <w:sz w:val="10"/>
        </w:rPr>
        <w:t xml:space="preserve">1 </w:t>
      </w:r>
      <w:r>
        <w:rPr>
          <w:sz w:val="16"/>
        </w:rPr>
        <w:t>GDPR legislation which c</w:t>
      </w:r>
      <w:r w:rsidR="00775560">
        <w:rPr>
          <w:sz w:val="16"/>
        </w:rPr>
        <w:t>ame</w:t>
      </w:r>
      <w:r>
        <w:rPr>
          <w:sz w:val="16"/>
        </w:rPr>
        <w:t xml:space="preserve"> into effect in May 2018 necessitates that the request for consent to disclose is presented in a manner which is clearly distinguished from the rest of the contract. This does NOT however mean that there must be two separate documents (one for consent and the other for the remaining elements of the contract). The request for consent to disclose can be part of the contract, so long as the HCP is required to agree specifically to the consent clause (this </w:t>
      </w:r>
      <w:r w:rsidR="00AB2AD7">
        <w:rPr>
          <w:sz w:val="16"/>
        </w:rPr>
        <w:t>c</w:t>
      </w:r>
      <w:r>
        <w:rPr>
          <w:sz w:val="16"/>
        </w:rPr>
        <w:t>ould be a check box or signature line beside the request to disclose</w:t>
      </w:r>
      <w:r w:rsidR="00AB2AD7">
        <w:rPr>
          <w:sz w:val="16"/>
        </w:rPr>
        <w:t xml:space="preserve"> etc.</w:t>
      </w:r>
      <w:r>
        <w:rPr>
          <w:sz w:val="16"/>
        </w:rPr>
        <w:t>).</w:t>
      </w:r>
    </w:p>
    <w:p w14:paraId="651AB64B" w14:textId="07D0ED33" w:rsidR="00AB45FD" w:rsidRDefault="008239E5" w:rsidP="00554F67">
      <w:pPr>
        <w:spacing w:before="2"/>
        <w:ind w:left="220" w:right="232"/>
        <w:jc w:val="both"/>
        <w:rPr>
          <w:sz w:val="16"/>
        </w:rPr>
      </w:pPr>
      <w:r>
        <w:rPr>
          <w:position w:val="5"/>
          <w:sz w:val="10"/>
        </w:rPr>
        <w:t xml:space="preserve">2 </w:t>
      </w:r>
      <w:proofErr w:type="gramStart"/>
      <w:r>
        <w:rPr>
          <w:sz w:val="16"/>
        </w:rPr>
        <w:t>REF</w:t>
      </w:r>
      <w:proofErr w:type="gramEnd"/>
      <w:r>
        <w:rPr>
          <w:sz w:val="16"/>
        </w:rPr>
        <w:t>: Question Preamble – 4 of the document titled ‘EFPIA Code on Disclosure of ToV from Pharmaceutical Companies to Healthcare Professionals and Healthcare Organisations (EFPIA HCP/HCO DISCLOSURE CODE) Frequently Asked Question</w:t>
      </w:r>
      <w:r w:rsidR="00554F67">
        <w:rPr>
          <w:sz w:val="16"/>
        </w:rPr>
        <w:t>s’.</w:t>
      </w:r>
    </w:p>
    <w:sectPr w:rsidR="00AB45FD" w:rsidSect="00AB2AD7">
      <w:pgSz w:w="11910" w:h="16840"/>
      <w:pgMar w:top="142" w:right="853"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649D5"/>
    <w:multiLevelType w:val="hybridMultilevel"/>
    <w:tmpl w:val="79B8FEEC"/>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1" w15:restartNumberingAfterBreak="0">
    <w:nsid w:val="462B2B3A"/>
    <w:multiLevelType w:val="hybridMultilevel"/>
    <w:tmpl w:val="32868B0A"/>
    <w:lvl w:ilvl="0" w:tplc="08090001">
      <w:start w:val="1"/>
      <w:numFmt w:val="bullet"/>
      <w:lvlText w:val=""/>
      <w:lvlJc w:val="left"/>
      <w:pPr>
        <w:ind w:left="580" w:hanging="360"/>
      </w:pPr>
      <w:rPr>
        <w:rFonts w:ascii="Symbol" w:hAnsi="Symbol"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2" w15:restartNumberingAfterBreak="0">
    <w:nsid w:val="61955C03"/>
    <w:multiLevelType w:val="hybridMultilevel"/>
    <w:tmpl w:val="58948F2E"/>
    <w:lvl w:ilvl="0" w:tplc="4FC6C170">
      <w:start w:val="1"/>
      <w:numFmt w:val="bullet"/>
      <w:lvlText w:val="⁻"/>
      <w:lvlJc w:val="left"/>
      <w:pPr>
        <w:ind w:left="1300" w:hanging="360"/>
      </w:pPr>
      <w:rPr>
        <w:rFonts w:ascii="Calibri" w:hAnsi="Calibri" w:hint="default"/>
      </w:rPr>
    </w:lvl>
    <w:lvl w:ilvl="1" w:tplc="18090003" w:tentative="1">
      <w:start w:val="1"/>
      <w:numFmt w:val="bullet"/>
      <w:lvlText w:val="o"/>
      <w:lvlJc w:val="left"/>
      <w:pPr>
        <w:ind w:left="2020" w:hanging="360"/>
      </w:pPr>
      <w:rPr>
        <w:rFonts w:ascii="Courier New" w:hAnsi="Courier New" w:cs="Courier New" w:hint="default"/>
      </w:rPr>
    </w:lvl>
    <w:lvl w:ilvl="2" w:tplc="18090005" w:tentative="1">
      <w:start w:val="1"/>
      <w:numFmt w:val="bullet"/>
      <w:lvlText w:val=""/>
      <w:lvlJc w:val="left"/>
      <w:pPr>
        <w:ind w:left="2740" w:hanging="360"/>
      </w:pPr>
      <w:rPr>
        <w:rFonts w:ascii="Wingdings" w:hAnsi="Wingdings" w:hint="default"/>
      </w:rPr>
    </w:lvl>
    <w:lvl w:ilvl="3" w:tplc="18090001" w:tentative="1">
      <w:start w:val="1"/>
      <w:numFmt w:val="bullet"/>
      <w:lvlText w:val=""/>
      <w:lvlJc w:val="left"/>
      <w:pPr>
        <w:ind w:left="3460" w:hanging="360"/>
      </w:pPr>
      <w:rPr>
        <w:rFonts w:ascii="Symbol" w:hAnsi="Symbol" w:hint="default"/>
      </w:rPr>
    </w:lvl>
    <w:lvl w:ilvl="4" w:tplc="18090003" w:tentative="1">
      <w:start w:val="1"/>
      <w:numFmt w:val="bullet"/>
      <w:lvlText w:val="o"/>
      <w:lvlJc w:val="left"/>
      <w:pPr>
        <w:ind w:left="4180" w:hanging="360"/>
      </w:pPr>
      <w:rPr>
        <w:rFonts w:ascii="Courier New" w:hAnsi="Courier New" w:cs="Courier New" w:hint="default"/>
      </w:rPr>
    </w:lvl>
    <w:lvl w:ilvl="5" w:tplc="18090005" w:tentative="1">
      <w:start w:val="1"/>
      <w:numFmt w:val="bullet"/>
      <w:lvlText w:val=""/>
      <w:lvlJc w:val="left"/>
      <w:pPr>
        <w:ind w:left="4900" w:hanging="360"/>
      </w:pPr>
      <w:rPr>
        <w:rFonts w:ascii="Wingdings" w:hAnsi="Wingdings" w:hint="default"/>
      </w:rPr>
    </w:lvl>
    <w:lvl w:ilvl="6" w:tplc="18090001" w:tentative="1">
      <w:start w:val="1"/>
      <w:numFmt w:val="bullet"/>
      <w:lvlText w:val=""/>
      <w:lvlJc w:val="left"/>
      <w:pPr>
        <w:ind w:left="5620" w:hanging="360"/>
      </w:pPr>
      <w:rPr>
        <w:rFonts w:ascii="Symbol" w:hAnsi="Symbol" w:hint="default"/>
      </w:rPr>
    </w:lvl>
    <w:lvl w:ilvl="7" w:tplc="18090003" w:tentative="1">
      <w:start w:val="1"/>
      <w:numFmt w:val="bullet"/>
      <w:lvlText w:val="o"/>
      <w:lvlJc w:val="left"/>
      <w:pPr>
        <w:ind w:left="6340" w:hanging="360"/>
      </w:pPr>
      <w:rPr>
        <w:rFonts w:ascii="Courier New" w:hAnsi="Courier New" w:cs="Courier New" w:hint="default"/>
      </w:rPr>
    </w:lvl>
    <w:lvl w:ilvl="8" w:tplc="18090005" w:tentative="1">
      <w:start w:val="1"/>
      <w:numFmt w:val="bullet"/>
      <w:lvlText w:val=""/>
      <w:lvlJc w:val="left"/>
      <w:pPr>
        <w:ind w:left="7060" w:hanging="360"/>
      </w:pPr>
      <w:rPr>
        <w:rFonts w:ascii="Wingdings" w:hAnsi="Wingdings" w:hint="default"/>
      </w:rPr>
    </w:lvl>
  </w:abstractNum>
  <w:abstractNum w:abstractNumId="3" w15:restartNumberingAfterBreak="0">
    <w:nsid w:val="78CD20B3"/>
    <w:multiLevelType w:val="hybridMultilevel"/>
    <w:tmpl w:val="59E4D2BA"/>
    <w:lvl w:ilvl="0" w:tplc="18090001">
      <w:start w:val="1"/>
      <w:numFmt w:val="bullet"/>
      <w:lvlText w:val=""/>
      <w:lvlJc w:val="left"/>
      <w:pPr>
        <w:ind w:left="580" w:hanging="360"/>
      </w:pPr>
      <w:rPr>
        <w:rFonts w:ascii="Symbol" w:hAnsi="Symbol" w:hint="default"/>
      </w:rPr>
    </w:lvl>
    <w:lvl w:ilvl="1" w:tplc="18090003" w:tentative="1">
      <w:start w:val="1"/>
      <w:numFmt w:val="bullet"/>
      <w:lvlText w:val="o"/>
      <w:lvlJc w:val="left"/>
      <w:pPr>
        <w:ind w:left="1300" w:hanging="360"/>
      </w:pPr>
      <w:rPr>
        <w:rFonts w:ascii="Courier New" w:hAnsi="Courier New" w:cs="Courier New" w:hint="default"/>
      </w:rPr>
    </w:lvl>
    <w:lvl w:ilvl="2" w:tplc="18090005" w:tentative="1">
      <w:start w:val="1"/>
      <w:numFmt w:val="bullet"/>
      <w:lvlText w:val=""/>
      <w:lvlJc w:val="left"/>
      <w:pPr>
        <w:ind w:left="2020" w:hanging="360"/>
      </w:pPr>
      <w:rPr>
        <w:rFonts w:ascii="Wingdings" w:hAnsi="Wingdings" w:hint="default"/>
      </w:rPr>
    </w:lvl>
    <w:lvl w:ilvl="3" w:tplc="18090001" w:tentative="1">
      <w:start w:val="1"/>
      <w:numFmt w:val="bullet"/>
      <w:lvlText w:val=""/>
      <w:lvlJc w:val="left"/>
      <w:pPr>
        <w:ind w:left="2740" w:hanging="360"/>
      </w:pPr>
      <w:rPr>
        <w:rFonts w:ascii="Symbol" w:hAnsi="Symbol" w:hint="default"/>
      </w:rPr>
    </w:lvl>
    <w:lvl w:ilvl="4" w:tplc="18090003" w:tentative="1">
      <w:start w:val="1"/>
      <w:numFmt w:val="bullet"/>
      <w:lvlText w:val="o"/>
      <w:lvlJc w:val="left"/>
      <w:pPr>
        <w:ind w:left="3460" w:hanging="360"/>
      </w:pPr>
      <w:rPr>
        <w:rFonts w:ascii="Courier New" w:hAnsi="Courier New" w:cs="Courier New" w:hint="default"/>
      </w:rPr>
    </w:lvl>
    <w:lvl w:ilvl="5" w:tplc="18090005" w:tentative="1">
      <w:start w:val="1"/>
      <w:numFmt w:val="bullet"/>
      <w:lvlText w:val=""/>
      <w:lvlJc w:val="left"/>
      <w:pPr>
        <w:ind w:left="4180" w:hanging="360"/>
      </w:pPr>
      <w:rPr>
        <w:rFonts w:ascii="Wingdings" w:hAnsi="Wingdings" w:hint="default"/>
      </w:rPr>
    </w:lvl>
    <w:lvl w:ilvl="6" w:tplc="18090001" w:tentative="1">
      <w:start w:val="1"/>
      <w:numFmt w:val="bullet"/>
      <w:lvlText w:val=""/>
      <w:lvlJc w:val="left"/>
      <w:pPr>
        <w:ind w:left="4900" w:hanging="360"/>
      </w:pPr>
      <w:rPr>
        <w:rFonts w:ascii="Symbol" w:hAnsi="Symbol" w:hint="default"/>
      </w:rPr>
    </w:lvl>
    <w:lvl w:ilvl="7" w:tplc="18090003" w:tentative="1">
      <w:start w:val="1"/>
      <w:numFmt w:val="bullet"/>
      <w:lvlText w:val="o"/>
      <w:lvlJc w:val="left"/>
      <w:pPr>
        <w:ind w:left="5620" w:hanging="360"/>
      </w:pPr>
      <w:rPr>
        <w:rFonts w:ascii="Courier New" w:hAnsi="Courier New" w:cs="Courier New" w:hint="default"/>
      </w:rPr>
    </w:lvl>
    <w:lvl w:ilvl="8" w:tplc="18090005" w:tentative="1">
      <w:start w:val="1"/>
      <w:numFmt w:val="bullet"/>
      <w:lvlText w:val=""/>
      <w:lvlJc w:val="left"/>
      <w:pPr>
        <w:ind w:left="6340" w:hanging="360"/>
      </w:pPr>
      <w:rPr>
        <w:rFonts w:ascii="Wingdings" w:hAnsi="Wingdings" w:hint="default"/>
      </w:rPr>
    </w:lvl>
  </w:abstractNum>
  <w:abstractNum w:abstractNumId="4" w15:restartNumberingAfterBreak="0">
    <w:nsid w:val="7B280523"/>
    <w:multiLevelType w:val="hybridMultilevel"/>
    <w:tmpl w:val="A288B4BA"/>
    <w:lvl w:ilvl="0" w:tplc="D506DACC">
      <w:numFmt w:val="bullet"/>
      <w:lvlText w:val=""/>
      <w:lvlJc w:val="left"/>
      <w:pPr>
        <w:ind w:left="580" w:hanging="360"/>
      </w:pPr>
      <w:rPr>
        <w:rFonts w:ascii="Symbol" w:eastAsia="Symbol" w:hAnsi="Symbol" w:cs="Symbol" w:hint="default"/>
        <w:w w:val="100"/>
        <w:sz w:val="22"/>
        <w:szCs w:val="22"/>
        <w:lang w:val="en-IE" w:eastAsia="en-IE" w:bidi="en-IE"/>
      </w:rPr>
    </w:lvl>
    <w:lvl w:ilvl="1" w:tplc="7C4E5DA2">
      <w:numFmt w:val="bullet"/>
      <w:lvlText w:val=""/>
      <w:lvlJc w:val="left"/>
      <w:pPr>
        <w:ind w:left="940" w:hanging="360"/>
      </w:pPr>
      <w:rPr>
        <w:rFonts w:ascii="Symbol" w:eastAsia="Symbol" w:hAnsi="Symbol" w:cs="Symbol" w:hint="default"/>
        <w:w w:val="100"/>
        <w:sz w:val="22"/>
        <w:szCs w:val="22"/>
        <w:lang w:val="en-IE" w:eastAsia="en-IE" w:bidi="en-IE"/>
      </w:rPr>
    </w:lvl>
    <w:lvl w:ilvl="2" w:tplc="8D1E44B4">
      <w:numFmt w:val="bullet"/>
      <w:lvlText w:val="•"/>
      <w:lvlJc w:val="left"/>
      <w:pPr>
        <w:ind w:left="1922" w:hanging="360"/>
      </w:pPr>
      <w:rPr>
        <w:rFonts w:hint="default"/>
        <w:lang w:val="en-IE" w:eastAsia="en-IE" w:bidi="en-IE"/>
      </w:rPr>
    </w:lvl>
    <w:lvl w:ilvl="3" w:tplc="18E44452">
      <w:numFmt w:val="bullet"/>
      <w:lvlText w:val="•"/>
      <w:lvlJc w:val="left"/>
      <w:pPr>
        <w:ind w:left="2905" w:hanging="360"/>
      </w:pPr>
      <w:rPr>
        <w:rFonts w:hint="default"/>
        <w:lang w:val="en-IE" w:eastAsia="en-IE" w:bidi="en-IE"/>
      </w:rPr>
    </w:lvl>
    <w:lvl w:ilvl="4" w:tplc="4D7E52C4">
      <w:numFmt w:val="bullet"/>
      <w:lvlText w:val="•"/>
      <w:lvlJc w:val="left"/>
      <w:pPr>
        <w:ind w:left="3888" w:hanging="360"/>
      </w:pPr>
      <w:rPr>
        <w:rFonts w:hint="default"/>
        <w:lang w:val="en-IE" w:eastAsia="en-IE" w:bidi="en-IE"/>
      </w:rPr>
    </w:lvl>
    <w:lvl w:ilvl="5" w:tplc="929E46CC">
      <w:numFmt w:val="bullet"/>
      <w:lvlText w:val="•"/>
      <w:lvlJc w:val="left"/>
      <w:pPr>
        <w:ind w:left="4871" w:hanging="360"/>
      </w:pPr>
      <w:rPr>
        <w:rFonts w:hint="default"/>
        <w:lang w:val="en-IE" w:eastAsia="en-IE" w:bidi="en-IE"/>
      </w:rPr>
    </w:lvl>
    <w:lvl w:ilvl="6" w:tplc="6772F9EE">
      <w:numFmt w:val="bullet"/>
      <w:lvlText w:val="•"/>
      <w:lvlJc w:val="left"/>
      <w:pPr>
        <w:ind w:left="5854" w:hanging="360"/>
      </w:pPr>
      <w:rPr>
        <w:rFonts w:hint="default"/>
        <w:lang w:val="en-IE" w:eastAsia="en-IE" w:bidi="en-IE"/>
      </w:rPr>
    </w:lvl>
    <w:lvl w:ilvl="7" w:tplc="A22E69DA">
      <w:numFmt w:val="bullet"/>
      <w:lvlText w:val="•"/>
      <w:lvlJc w:val="left"/>
      <w:pPr>
        <w:ind w:left="6837" w:hanging="360"/>
      </w:pPr>
      <w:rPr>
        <w:rFonts w:hint="default"/>
        <w:lang w:val="en-IE" w:eastAsia="en-IE" w:bidi="en-IE"/>
      </w:rPr>
    </w:lvl>
    <w:lvl w:ilvl="8" w:tplc="5476A018">
      <w:numFmt w:val="bullet"/>
      <w:lvlText w:val="•"/>
      <w:lvlJc w:val="left"/>
      <w:pPr>
        <w:ind w:left="7820" w:hanging="360"/>
      </w:pPr>
      <w:rPr>
        <w:rFonts w:hint="default"/>
        <w:lang w:val="en-IE" w:eastAsia="en-IE" w:bidi="en-IE"/>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FD"/>
    <w:rsid w:val="00070276"/>
    <w:rsid w:val="000808CE"/>
    <w:rsid w:val="000E1080"/>
    <w:rsid w:val="001358A5"/>
    <w:rsid w:val="001B621D"/>
    <w:rsid w:val="00244E9E"/>
    <w:rsid w:val="00431875"/>
    <w:rsid w:val="00446093"/>
    <w:rsid w:val="00495ED7"/>
    <w:rsid w:val="00554F67"/>
    <w:rsid w:val="005A6FE8"/>
    <w:rsid w:val="005F2981"/>
    <w:rsid w:val="00775560"/>
    <w:rsid w:val="007D5BF8"/>
    <w:rsid w:val="008239E5"/>
    <w:rsid w:val="009965A1"/>
    <w:rsid w:val="009D49E3"/>
    <w:rsid w:val="009F3848"/>
    <w:rsid w:val="00A24DCA"/>
    <w:rsid w:val="00AB2AD7"/>
    <w:rsid w:val="00AB45FD"/>
    <w:rsid w:val="00AC629F"/>
    <w:rsid w:val="00BE1808"/>
    <w:rsid w:val="00D36A9A"/>
    <w:rsid w:val="00DB784E"/>
    <w:rsid w:val="00DF13A4"/>
    <w:rsid w:val="00E679D0"/>
    <w:rsid w:val="00E82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A2544"/>
  <w15:docId w15:val="{A38B8ADB-3CF4-4128-B0EC-DB02555DD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IE" w:eastAsia="en-IE" w:bidi="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40" w:right="228"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460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093"/>
    <w:rPr>
      <w:rFonts w:ascii="Segoe UI" w:eastAsia="Calibri" w:hAnsi="Segoe UI" w:cs="Segoe UI"/>
      <w:sz w:val="18"/>
      <w:szCs w:val="18"/>
      <w:lang w:val="en-IE" w:eastAsia="en-IE" w:bidi="en-IE"/>
    </w:rPr>
  </w:style>
  <w:style w:type="character" w:styleId="Hyperlink">
    <w:name w:val="Hyperlink"/>
    <w:basedOn w:val="DefaultParagraphFont"/>
    <w:uiPriority w:val="99"/>
    <w:unhideWhenUsed/>
    <w:rsid w:val="009F3848"/>
    <w:rPr>
      <w:color w:val="0000FF" w:themeColor="hyperlink"/>
      <w:u w:val="single"/>
    </w:rPr>
  </w:style>
  <w:style w:type="table" w:styleId="TableGrid">
    <w:name w:val="Table Grid"/>
    <w:basedOn w:val="TableNormal"/>
    <w:uiPriority w:val="39"/>
    <w:rsid w:val="00D36A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pha.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070F654804A04A876430D4118DCD37" ma:contentTypeVersion="9" ma:contentTypeDescription="Create a new document." ma:contentTypeScope="" ma:versionID="1bdc30201d4de56bdc189b19be65d4d9">
  <xsd:schema xmlns:xsd="http://www.w3.org/2001/XMLSchema" xmlns:xs="http://www.w3.org/2001/XMLSchema" xmlns:p="http://schemas.microsoft.com/office/2006/metadata/properties" xmlns:ns2="5cc2482f-a0cd-4f0d-a4b7-7c356ea34a62" targetNamespace="http://schemas.microsoft.com/office/2006/metadata/properties" ma:root="true" ma:fieldsID="024f81fd3bf22107ab65664839313050" ns2:_="">
    <xsd:import namespace="5cc2482f-a0cd-4f0d-a4b7-7c356ea34a6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c2482f-a0cd-4f0d-a4b7-7c356ea34a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AF93D5-DC1A-4704-8E57-D556184C0726}"/>
</file>

<file path=customXml/itemProps2.xml><?xml version="1.0" encoding="utf-8"?>
<ds:datastoreItem xmlns:ds="http://schemas.openxmlformats.org/officeDocument/2006/customXml" ds:itemID="{E0143C9C-B28A-4FD1-9A76-C4408048D6DB}">
  <ds:schemaRefs>
    <ds:schemaRef ds:uri="http://schemas.microsoft.com/sharepoint/v3/contenttype/forms"/>
  </ds:schemaRefs>
</ds:datastoreItem>
</file>

<file path=customXml/itemProps3.xml><?xml version="1.0" encoding="utf-8"?>
<ds:datastoreItem xmlns:ds="http://schemas.openxmlformats.org/officeDocument/2006/customXml" ds:itemID="{766136D2-EFE7-4DA2-BFD2-14873E68A8F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541</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Cramp</dc:creator>
  <cp:lastModifiedBy>Rebecca Cramp</cp:lastModifiedBy>
  <cp:revision>2</cp:revision>
  <dcterms:created xsi:type="dcterms:W3CDTF">2021-07-29T14:48:00Z</dcterms:created>
  <dcterms:modified xsi:type="dcterms:W3CDTF">2021-07-29T14:48:00Z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2017-09-27T00:00:00Z</vt:filetime>
  </property>
  <property fmtid="{D5CDD505-2E9C-101B-9397-08002B2CF9AE}" pid="3" name="Creator">
    <vt:lpwstr>Microsoft® Word 2013</vt:lpwstr>
  </property>
  <property fmtid="{D5CDD505-2E9C-101B-9397-08002B2CF9AE}" pid="4" name="LastSaved">
    <vt:filetime>2020-06-08T00:00:00Z</vt:filetime>
  </property>
  <property fmtid="{D5CDD505-2E9C-101B-9397-08002B2CF9AE}" pid="5" name="ContentTypeId">
    <vt:lpwstr>0x01010019070F654804A04A876430D4118DCD37</vt:lpwstr>
  </property>
</Properties>
</file>